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spacing w:line="560" w:lineRule="exact"/>
      </w:pPr>
    </w:p>
    <w:p>
      <w:pPr>
        <w:spacing w:line="560" w:lineRule="exact"/>
        <w:jc w:val="center"/>
        <w:rPr>
          <w:b/>
          <w:bCs/>
          <w:sz w:val="52"/>
          <w:szCs w:val="52"/>
        </w:rPr>
      </w:pPr>
    </w:p>
    <w:p>
      <w:pPr>
        <w:spacing w:line="560" w:lineRule="exact"/>
        <w:jc w:val="center"/>
        <w:rPr>
          <w:b/>
          <w:bCs/>
          <w:sz w:val="52"/>
          <w:szCs w:val="52"/>
        </w:rPr>
      </w:pPr>
      <w:r>
        <w:rPr>
          <w:rFonts w:hint="eastAsia"/>
          <w:b/>
          <w:bCs/>
          <w:sz w:val="52"/>
          <w:szCs w:val="52"/>
        </w:rPr>
        <w:t>北京市大兴区人民法院</w:t>
      </w:r>
    </w:p>
    <w:p>
      <w:pPr>
        <w:spacing w:line="560" w:lineRule="exact"/>
        <w:jc w:val="center"/>
        <w:rPr>
          <w:b/>
          <w:bCs/>
          <w:sz w:val="52"/>
          <w:szCs w:val="52"/>
        </w:rPr>
      </w:pPr>
      <w:r>
        <w:rPr>
          <w:rFonts w:hint="eastAsia"/>
          <w:b/>
          <w:bCs/>
          <w:sz w:val="52"/>
          <w:szCs w:val="52"/>
        </w:rPr>
        <w:t>2024年度互联网接入费项目</w:t>
      </w:r>
    </w:p>
    <w:p>
      <w:pPr>
        <w:spacing w:line="560" w:lineRule="exact"/>
        <w:jc w:val="center"/>
        <w:rPr>
          <w:b/>
          <w:bCs/>
          <w:sz w:val="52"/>
        </w:rPr>
      </w:pPr>
      <w:r>
        <w:rPr>
          <w:rFonts w:hint="eastAsia"/>
          <w:b/>
          <w:bCs/>
          <w:sz w:val="52"/>
          <w:szCs w:val="52"/>
        </w:rPr>
        <w:t>绩效评价报告</w:t>
      </w:r>
    </w:p>
    <w:p>
      <w:pPr>
        <w:spacing w:line="560" w:lineRule="exact"/>
        <w:jc w:val="center"/>
        <w:rPr>
          <w:rFonts w:eastAsia="黑体"/>
          <w:sz w:val="30"/>
        </w:rPr>
      </w:pPr>
    </w:p>
    <w:p>
      <w:pPr>
        <w:spacing w:line="560" w:lineRule="exact"/>
        <w:jc w:val="center"/>
        <w:rPr>
          <w:rFonts w:eastAsia="黑体"/>
          <w:sz w:val="30"/>
        </w:rPr>
      </w:pPr>
    </w:p>
    <w:p>
      <w:pPr>
        <w:spacing w:line="560" w:lineRule="exact"/>
        <w:jc w:val="center"/>
        <w:rPr>
          <w:rFonts w:eastAsia="黑体"/>
          <w:sz w:val="30"/>
        </w:rPr>
      </w:pPr>
    </w:p>
    <w:p>
      <w:pPr>
        <w:spacing w:line="560" w:lineRule="exact"/>
        <w:jc w:val="center"/>
        <w:rPr>
          <w:rFonts w:eastAsia="黑体"/>
          <w:sz w:val="30"/>
        </w:rPr>
      </w:pPr>
    </w:p>
    <w:p>
      <w:pPr>
        <w:spacing w:line="560" w:lineRule="exact"/>
        <w:jc w:val="center"/>
        <w:rPr>
          <w:rFonts w:eastAsia="黑体"/>
          <w:sz w:val="30"/>
        </w:rPr>
      </w:pPr>
    </w:p>
    <w:p>
      <w:pPr>
        <w:spacing w:before="156" w:beforeLines="50" w:line="560" w:lineRule="exact"/>
        <w:ind w:firstLine="960" w:firstLineChars="300"/>
        <w:rPr>
          <w:rFonts w:hint="eastAsia" w:ascii="仿宋_GB2312" w:hAnsi="宋体" w:eastAsia="仿宋_GB2312"/>
          <w:sz w:val="32"/>
          <w:szCs w:val="32"/>
          <w:u w:val="single"/>
        </w:rPr>
      </w:pPr>
      <w:r>
        <w:rPr>
          <w:rFonts w:hint="eastAsia" w:ascii="仿宋_GB2312" w:hAnsi="宋体" w:eastAsia="仿宋_GB2312"/>
          <w:sz w:val="32"/>
          <w:szCs w:val="32"/>
        </w:rPr>
        <w:t xml:space="preserve">项目单位  </w:t>
      </w:r>
      <w:r>
        <w:rPr>
          <w:rFonts w:hint="eastAsia" w:ascii="仿宋_GB2312" w:hAnsi="宋体" w:eastAsia="仿宋_GB2312"/>
          <w:sz w:val="32"/>
          <w:szCs w:val="32"/>
          <w:u w:val="single"/>
        </w:rPr>
        <w:t xml:space="preserve">      北京市大兴区人民法院          </w:t>
      </w:r>
    </w:p>
    <w:p>
      <w:pPr>
        <w:spacing w:before="156" w:beforeLines="50" w:line="560" w:lineRule="exact"/>
        <w:ind w:left="4478" w:leftChars="456" w:hanging="3520" w:hangingChars="1100"/>
        <w:rPr>
          <w:rFonts w:hint="eastAsia" w:ascii="仿宋_GB2312" w:hAnsi="宋体" w:eastAsia="仿宋_GB2312"/>
          <w:sz w:val="32"/>
          <w:szCs w:val="32"/>
          <w:u w:val="single"/>
        </w:rPr>
      </w:pPr>
      <w:r>
        <w:rPr>
          <w:rFonts w:hint="eastAsia" w:ascii="仿宋_GB2312" w:hAnsi="宋体" w:eastAsia="仿宋_GB2312"/>
          <w:sz w:val="32"/>
          <w:szCs w:val="32"/>
        </w:rPr>
        <w:t xml:space="preserve">项目名称  </w:t>
      </w:r>
      <w:r>
        <w:rPr>
          <w:rFonts w:hint="eastAsia" w:ascii="仿宋_GB2312" w:hAnsi="宋体" w:eastAsia="仿宋_GB2312"/>
          <w:sz w:val="32"/>
          <w:szCs w:val="32"/>
          <w:u w:val="single"/>
        </w:rPr>
        <w:t xml:space="preserve">    2024年度互联网接入费项目           </w:t>
      </w:r>
    </w:p>
    <w:p>
      <w:pPr>
        <w:spacing w:before="156" w:beforeLines="50" w:line="560" w:lineRule="exact"/>
        <w:ind w:firstLine="960" w:firstLineChars="300"/>
        <w:jc w:val="left"/>
        <w:rPr>
          <w:rFonts w:hint="eastAsia" w:ascii="仿宋_GB2312" w:hAnsi="宋体" w:eastAsia="仿宋_GB2312"/>
          <w:sz w:val="32"/>
          <w:szCs w:val="32"/>
        </w:rPr>
      </w:pPr>
      <w:r>
        <w:rPr>
          <w:rFonts w:hint="eastAsia" w:ascii="仿宋_GB2312" w:hAnsi="宋体" w:eastAsia="仿宋_GB2312"/>
          <w:sz w:val="32"/>
          <w:szCs w:val="32"/>
        </w:rPr>
        <w:t>参与评价</w:t>
      </w:r>
    </w:p>
    <w:p>
      <w:pPr>
        <w:spacing w:before="156" w:beforeLines="50" w:line="560" w:lineRule="exact"/>
        <w:ind w:firstLine="937" w:firstLineChars="293"/>
        <w:jc w:val="left"/>
        <w:rPr>
          <w:rFonts w:hint="eastAsia" w:ascii="仿宋_GB2312" w:hAnsi="宋体" w:eastAsia="仿宋_GB2312"/>
          <w:sz w:val="32"/>
          <w:szCs w:val="32"/>
          <w:u w:val="single"/>
        </w:rPr>
      </w:pPr>
      <w:r>
        <w:rPr>
          <w:rFonts w:hint="eastAsia" w:ascii="仿宋_GB2312" w:hAnsi="宋体" w:eastAsia="仿宋_GB2312"/>
          <w:sz w:val="32"/>
          <w:szCs w:val="32"/>
        </w:rPr>
        <w:t xml:space="preserve">中介机构  </w:t>
      </w:r>
      <w:r>
        <w:rPr>
          <w:rFonts w:hint="eastAsia" w:ascii="仿宋_GB2312" w:hAnsi="宋体" w:eastAsia="仿宋_GB2312"/>
          <w:sz w:val="32"/>
          <w:szCs w:val="32"/>
          <w:u w:val="single"/>
        </w:rPr>
        <w:t xml:space="preserve"> 北京正衡东亚会计师事务所有限公司   </w:t>
      </w:r>
    </w:p>
    <w:p>
      <w:pPr>
        <w:spacing w:before="156" w:beforeLines="50" w:line="560" w:lineRule="exact"/>
        <w:ind w:firstLine="937" w:firstLineChars="293"/>
        <w:jc w:val="left"/>
        <w:rPr>
          <w:rFonts w:ascii="仿宋_GB2312" w:eastAsia="仿宋_GB2312"/>
          <w:sz w:val="30"/>
          <w:u w:val="single"/>
        </w:rPr>
      </w:pPr>
      <w:r>
        <w:rPr>
          <w:rFonts w:hint="eastAsia" w:ascii="仿宋_GB2312" w:eastAsia="仿宋_GB2312"/>
          <w:sz w:val="32"/>
          <w:szCs w:val="32"/>
        </w:rPr>
        <w:t>评价日期</w:t>
      </w:r>
      <w:r>
        <w:rPr>
          <w:rFonts w:hint="eastAsia" w:ascii="仿宋_GB2312" w:hAnsi="宋体" w:eastAsia="仿宋_GB2312" w:cs="宋体"/>
          <w:sz w:val="32"/>
          <w:szCs w:val="32"/>
        </w:rPr>
        <w:t xml:space="preserve">  </w:t>
      </w:r>
      <w:r>
        <w:rPr>
          <w:rFonts w:hint="eastAsia" w:ascii="仿宋_GB2312" w:hAnsi="宋体" w:eastAsia="仿宋_GB2312" w:cs="宋体"/>
          <w:sz w:val="32"/>
          <w:szCs w:val="32"/>
          <w:u w:val="single"/>
        </w:rPr>
        <w:t xml:space="preserve">           202</w:t>
      </w:r>
      <w:r>
        <w:rPr>
          <w:rFonts w:hint="default" w:ascii="仿宋_GB2312" w:hAnsi="宋体" w:eastAsia="仿宋_GB2312" w:cs="宋体"/>
          <w:sz w:val="32"/>
          <w:szCs w:val="32"/>
          <w:u w:val="single"/>
        </w:rPr>
        <w:t>5</w:t>
      </w:r>
      <w:r>
        <w:rPr>
          <w:rFonts w:hint="eastAsia" w:ascii="仿宋_GB2312" w:hAnsi="宋体" w:eastAsia="仿宋_GB2312" w:cs="宋体"/>
          <w:sz w:val="32"/>
          <w:szCs w:val="32"/>
          <w:u w:val="single"/>
        </w:rPr>
        <w:t xml:space="preserve">年5月                 </w:t>
      </w:r>
      <w:r>
        <w:rPr>
          <w:rFonts w:ascii="宋体" w:hAnsi="宋体" w:cs="宋体"/>
          <w:sz w:val="32"/>
          <w:szCs w:val="32"/>
          <w:u w:val="single"/>
        </w:rPr>
        <w:t xml:space="preserve">      </w:t>
      </w:r>
    </w:p>
    <w:p>
      <w:pPr>
        <w:spacing w:before="156" w:beforeLines="50" w:line="560" w:lineRule="exact"/>
        <w:rPr>
          <w:rFonts w:eastAsia="黑体"/>
          <w:sz w:val="36"/>
          <w:szCs w:val="36"/>
        </w:rPr>
      </w:pPr>
    </w:p>
    <w:p>
      <w:pPr>
        <w:spacing w:line="560" w:lineRule="exact"/>
        <w:rPr>
          <w:rFonts w:eastAsia="黑体"/>
          <w:sz w:val="36"/>
          <w:szCs w:val="36"/>
        </w:rPr>
      </w:pPr>
    </w:p>
    <w:p>
      <w:pPr>
        <w:spacing w:line="560" w:lineRule="exact"/>
        <w:rPr>
          <w:rFonts w:eastAsia="黑体"/>
          <w:sz w:val="36"/>
          <w:szCs w:val="36"/>
        </w:rPr>
      </w:pPr>
    </w:p>
    <w:p>
      <w:pPr>
        <w:spacing w:line="560" w:lineRule="exact"/>
        <w:jc w:val="center"/>
        <w:rPr>
          <w:rFonts w:hint="eastAsia" w:ascii="宋体" w:hAnsi="宋体"/>
          <w:sz w:val="32"/>
          <w:szCs w:val="32"/>
          <w:u w:val="single"/>
        </w:rPr>
      </w:pPr>
    </w:p>
    <w:p>
      <w:pPr>
        <w:spacing w:before="156" w:beforeLines="50" w:after="240" w:line="500" w:lineRule="exact"/>
        <w:jc w:val="center"/>
        <w:rPr>
          <w:rFonts w:hint="eastAsia" w:ascii="黑体" w:hAnsi="黑体" w:eastAsia="黑体" w:cs="宋体"/>
          <w:sz w:val="30"/>
          <w:szCs w:val="30"/>
        </w:rPr>
      </w:pPr>
      <w:r>
        <w:rPr>
          <w:rFonts w:hint="eastAsia" w:ascii="黑体" w:hAnsi="黑体" w:eastAsia="黑体" w:cs="宋体"/>
          <w:sz w:val="30"/>
          <w:szCs w:val="30"/>
        </w:rPr>
        <w:t>目   录</w:t>
      </w:r>
    </w:p>
    <w:p>
      <w:pPr>
        <w:pStyle w:val="10"/>
        <w:tabs>
          <w:tab w:val="right" w:leader="dot" w:pos="8296"/>
        </w:tabs>
        <w:spacing w:after="0"/>
        <w:rPr>
          <w:rFonts w:asciiTheme="minorHAnsi" w:hAnsiTheme="minorHAnsi" w:eastAsiaTheme="minorEastAsia" w:cstheme="minorBidi"/>
          <w:sz w:val="28"/>
          <w:szCs w:val="28"/>
          <w14:ligatures w14:val="standardContextual"/>
        </w:rPr>
      </w:pPr>
      <w:r>
        <w:rPr>
          <w:rFonts w:hint="eastAsia" w:cs="宋体" w:asciiTheme="minorEastAsia" w:hAnsiTheme="minorEastAsia" w:eastAsiaTheme="minorEastAsia"/>
          <w:sz w:val="28"/>
          <w:szCs w:val="28"/>
        </w:rPr>
        <w:fldChar w:fldCharType="begin"/>
      </w:r>
      <w:r>
        <w:rPr>
          <w:rFonts w:hint="eastAsia" w:cs="宋体" w:asciiTheme="minorEastAsia" w:hAnsiTheme="minorEastAsia" w:eastAsiaTheme="minorEastAsia"/>
          <w:sz w:val="28"/>
          <w:szCs w:val="28"/>
        </w:rPr>
        <w:instrText xml:space="preserve"> TOC \o "1-3" \h \z \u </w:instrText>
      </w:r>
      <w:r>
        <w:rPr>
          <w:rFonts w:hint="eastAsia" w:cs="宋体" w:asciiTheme="minorEastAsia" w:hAnsiTheme="minorEastAsia" w:eastAsiaTheme="minorEastAsia"/>
          <w:sz w:val="28"/>
          <w:szCs w:val="28"/>
        </w:rPr>
        <w:fldChar w:fldCharType="separate"/>
      </w:r>
      <w:r>
        <w:fldChar w:fldCharType="begin"/>
      </w:r>
      <w:r>
        <w:instrText xml:space="preserve"> HYPERLINK \l "_Toc198553280" </w:instrText>
      </w:r>
      <w:r>
        <w:fldChar w:fldCharType="separate"/>
      </w:r>
      <w:r>
        <w:rPr>
          <w:rStyle w:val="16"/>
          <w:rFonts w:hint="eastAsia" w:ascii="黑体" w:hAnsi="黑体" w:eastAsia="黑体"/>
          <w:sz w:val="28"/>
          <w:szCs w:val="28"/>
        </w:rPr>
        <w:t>一、基本情况</w:t>
      </w:r>
      <w:r>
        <w:rPr>
          <w:rFonts w:hint="eastAsia"/>
          <w:sz w:val="28"/>
          <w:szCs w:val="28"/>
        </w:rPr>
        <w:tab/>
      </w:r>
      <w:r>
        <w:rPr>
          <w:rFonts w:hint="eastAsia"/>
          <w:sz w:val="28"/>
          <w:szCs w:val="28"/>
        </w:rPr>
        <w:fldChar w:fldCharType="begin"/>
      </w:r>
      <w:r>
        <w:rPr>
          <w:rFonts w:hint="eastAsia"/>
          <w:sz w:val="28"/>
          <w:szCs w:val="28"/>
        </w:rPr>
        <w:instrText xml:space="preserve"> </w:instrText>
      </w:r>
      <w:r>
        <w:rPr>
          <w:sz w:val="28"/>
          <w:szCs w:val="28"/>
        </w:rPr>
        <w:instrText xml:space="preserve">PAGEREF _Toc198553280 \h</w:instrText>
      </w:r>
      <w:r>
        <w:rPr>
          <w:rFonts w:hint="eastAsia"/>
          <w:sz w:val="28"/>
          <w:szCs w:val="28"/>
        </w:rPr>
        <w:instrText xml:space="preserve"> </w:instrText>
      </w:r>
      <w:r>
        <w:rPr>
          <w:rFonts w:hint="eastAsia"/>
          <w:sz w:val="28"/>
          <w:szCs w:val="28"/>
        </w:rPr>
        <w:fldChar w:fldCharType="separate"/>
      </w:r>
      <w:r>
        <w:rPr>
          <w:sz w:val="28"/>
          <w:szCs w:val="28"/>
        </w:rPr>
        <w:t>1</w:t>
      </w:r>
      <w:r>
        <w:rPr>
          <w:rFonts w:hint="eastAsia"/>
          <w:sz w:val="28"/>
          <w:szCs w:val="28"/>
        </w:rPr>
        <w:fldChar w:fldCharType="end"/>
      </w:r>
      <w:r>
        <w:rPr>
          <w:rFonts w:hint="eastAsia"/>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"_Toc198553281" </w:instrText>
      </w:r>
      <w:r>
        <w:fldChar w:fldCharType="separate"/>
      </w:r>
      <w:r>
        <w:rPr>
          <w:rStyle w:val="16"/>
          <w:rFonts w:hint="eastAsia" w:ascii="楷体_GB2312" w:hAnsi="Arial" w:eastAsia="楷体_GB2312" w:cs="Arial"/>
          <w:bCs/>
          <w:sz w:val="28"/>
          <w:szCs w:val="28"/>
        </w:rPr>
        <w:t>（一）项目概况</w:t>
      </w:r>
      <w:r>
        <w:rPr>
          <w:rFonts w:hint="eastAsia"/>
          <w:sz w:val="28"/>
          <w:szCs w:val="28"/>
        </w:rPr>
        <w:tab/>
      </w:r>
      <w:r>
        <w:rPr>
          <w:rFonts w:hint="eastAsia"/>
          <w:sz w:val="28"/>
          <w:szCs w:val="28"/>
        </w:rPr>
        <w:fldChar w:fldCharType="begin"/>
      </w:r>
      <w:r>
        <w:rPr>
          <w:rFonts w:hint="eastAsia"/>
          <w:sz w:val="28"/>
          <w:szCs w:val="28"/>
        </w:rPr>
        <w:instrText xml:space="preserve"> </w:instrText>
      </w:r>
      <w:r>
        <w:rPr>
          <w:sz w:val="28"/>
          <w:szCs w:val="28"/>
        </w:rPr>
        <w:instrText xml:space="preserve">PAGEREF _Toc198553281 \h</w:instrText>
      </w:r>
      <w:r>
        <w:rPr>
          <w:rFonts w:hint="eastAsia"/>
          <w:sz w:val="28"/>
          <w:szCs w:val="28"/>
        </w:rPr>
        <w:instrText xml:space="preserve"> </w:instrText>
      </w:r>
      <w:r>
        <w:rPr>
          <w:rFonts w:hint="eastAsia"/>
          <w:sz w:val="28"/>
          <w:szCs w:val="28"/>
        </w:rPr>
        <w:fldChar w:fldCharType="separate"/>
      </w:r>
      <w:r>
        <w:rPr>
          <w:sz w:val="28"/>
          <w:szCs w:val="28"/>
        </w:rPr>
        <w:t>1</w:t>
      </w:r>
      <w:r>
        <w:rPr>
          <w:rFonts w:hint="eastAsia"/>
          <w:sz w:val="28"/>
          <w:szCs w:val="28"/>
        </w:rPr>
        <w:fldChar w:fldCharType="end"/>
      </w:r>
      <w:r>
        <w:rPr>
          <w:rFonts w:hint="eastAsia"/>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"_Toc198553282" </w:instrText>
      </w:r>
      <w:r>
        <w:fldChar w:fldCharType="separate"/>
      </w:r>
      <w:r>
        <w:rPr>
          <w:rStyle w:val="16"/>
          <w:rFonts w:hint="eastAsia" w:ascii="楷体_GB2312" w:hAnsi="Arial" w:eastAsia="楷体_GB2312" w:cs="Arial"/>
          <w:bCs/>
          <w:sz w:val="28"/>
          <w:szCs w:val="28"/>
        </w:rPr>
        <w:t>（二）项目绩效目标</w:t>
      </w:r>
      <w:r>
        <w:rPr>
          <w:rFonts w:hint="eastAsia"/>
          <w:sz w:val="28"/>
          <w:szCs w:val="28"/>
        </w:rPr>
        <w:tab/>
      </w:r>
      <w:r>
        <w:rPr>
          <w:rFonts w:hint="eastAsia"/>
          <w:sz w:val="28"/>
          <w:szCs w:val="28"/>
        </w:rPr>
        <w:fldChar w:fldCharType="begin"/>
      </w:r>
      <w:r>
        <w:rPr>
          <w:rFonts w:hint="eastAsia"/>
          <w:sz w:val="28"/>
          <w:szCs w:val="28"/>
        </w:rPr>
        <w:instrText xml:space="preserve"> </w:instrText>
      </w:r>
      <w:r>
        <w:rPr>
          <w:sz w:val="28"/>
          <w:szCs w:val="28"/>
        </w:rPr>
        <w:instrText xml:space="preserve">PAGEREF _Toc198553282 \h</w:instrText>
      </w:r>
      <w:r>
        <w:rPr>
          <w:rFonts w:hint="eastAsia"/>
          <w:sz w:val="28"/>
          <w:szCs w:val="28"/>
        </w:rPr>
        <w:instrText xml:space="preserve"> </w:instrText>
      </w:r>
      <w:r>
        <w:rPr>
          <w:rFonts w:hint="eastAsia"/>
          <w:sz w:val="28"/>
          <w:szCs w:val="28"/>
        </w:rPr>
        <w:fldChar w:fldCharType="separate"/>
      </w:r>
      <w:r>
        <w:rPr>
          <w:sz w:val="28"/>
          <w:szCs w:val="28"/>
        </w:rPr>
        <w:t>2</w:t>
      </w:r>
      <w:r>
        <w:rPr>
          <w:rFonts w:hint="eastAsia"/>
          <w:sz w:val="28"/>
          <w:szCs w:val="28"/>
        </w:rPr>
        <w:fldChar w:fldCharType="end"/>
      </w:r>
      <w:r>
        <w:rPr>
          <w:rFonts w:hint="eastAsia"/>
          <w:sz w:val="28"/>
          <w:szCs w:val="28"/>
        </w:rPr>
        <w:fldChar w:fldCharType="end"/>
      </w:r>
    </w:p>
    <w:p>
      <w:pPr>
        <w:pStyle w:val="10"/>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"_Toc198553283" </w:instrText>
      </w:r>
      <w:r>
        <w:fldChar w:fldCharType="separate"/>
      </w:r>
      <w:r>
        <w:rPr>
          <w:rStyle w:val="16"/>
          <w:rFonts w:hint="eastAsia" w:ascii="黑体" w:hAnsi="黑体" w:eastAsia="黑体"/>
          <w:sz w:val="28"/>
          <w:szCs w:val="28"/>
        </w:rPr>
        <w:t>二、绩效评价工作开展情况</w:t>
      </w:r>
      <w:r>
        <w:rPr>
          <w:rFonts w:hint="eastAsia"/>
          <w:sz w:val="28"/>
          <w:szCs w:val="28"/>
        </w:rPr>
        <w:tab/>
      </w:r>
      <w:r>
        <w:rPr>
          <w:rFonts w:hint="eastAsia"/>
          <w:sz w:val="28"/>
          <w:szCs w:val="28"/>
        </w:rPr>
        <w:fldChar w:fldCharType="begin"/>
      </w:r>
      <w:r>
        <w:rPr>
          <w:rFonts w:hint="eastAsia"/>
          <w:sz w:val="28"/>
          <w:szCs w:val="28"/>
        </w:rPr>
        <w:instrText xml:space="preserve"> </w:instrText>
      </w:r>
      <w:r>
        <w:rPr>
          <w:sz w:val="28"/>
          <w:szCs w:val="28"/>
        </w:rPr>
        <w:instrText xml:space="preserve">PAGEREF _Toc198553283 \h</w:instrText>
      </w:r>
      <w:r>
        <w:rPr>
          <w:rFonts w:hint="eastAsia"/>
          <w:sz w:val="28"/>
          <w:szCs w:val="28"/>
        </w:rPr>
        <w:instrText xml:space="preserve"> </w:instrText>
      </w:r>
      <w:r>
        <w:rPr>
          <w:rFonts w:hint="eastAsia"/>
          <w:sz w:val="28"/>
          <w:szCs w:val="28"/>
        </w:rPr>
        <w:fldChar w:fldCharType="separate"/>
      </w:r>
      <w:r>
        <w:rPr>
          <w:sz w:val="28"/>
          <w:szCs w:val="28"/>
        </w:rPr>
        <w:t>3</w:t>
      </w:r>
      <w:r>
        <w:rPr>
          <w:rFonts w:hint="eastAsia"/>
          <w:sz w:val="28"/>
          <w:szCs w:val="28"/>
        </w:rPr>
        <w:fldChar w:fldCharType="end"/>
      </w:r>
      <w:r>
        <w:rPr>
          <w:rFonts w:hint="eastAsia"/>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"_Toc198553284" </w:instrText>
      </w:r>
      <w:r>
        <w:fldChar w:fldCharType="separate"/>
      </w:r>
      <w:r>
        <w:rPr>
          <w:rStyle w:val="16"/>
          <w:rFonts w:hint="eastAsia" w:ascii="楷体_GB2312" w:hAnsi="楷体_GB2312" w:eastAsia="楷体_GB2312" w:cs="楷体_GB2312"/>
          <w:kern w:val="0"/>
          <w:sz w:val="28"/>
          <w:szCs w:val="28"/>
        </w:rPr>
        <w:t>（一）绩效评价目的、对象和范围</w:t>
      </w:r>
      <w:r>
        <w:rPr>
          <w:rFonts w:hint="eastAsia"/>
          <w:sz w:val="28"/>
          <w:szCs w:val="28"/>
        </w:rPr>
        <w:tab/>
      </w:r>
      <w:r>
        <w:rPr>
          <w:rFonts w:hint="eastAsia"/>
          <w:sz w:val="28"/>
          <w:szCs w:val="28"/>
        </w:rPr>
        <w:fldChar w:fldCharType="begin"/>
      </w:r>
      <w:r>
        <w:rPr>
          <w:rFonts w:hint="eastAsia"/>
          <w:sz w:val="28"/>
          <w:szCs w:val="28"/>
        </w:rPr>
        <w:instrText xml:space="preserve"> </w:instrText>
      </w:r>
      <w:r>
        <w:rPr>
          <w:sz w:val="28"/>
          <w:szCs w:val="28"/>
        </w:rPr>
        <w:instrText xml:space="preserve">PAGEREF _Toc198553284 \h</w:instrText>
      </w:r>
      <w:r>
        <w:rPr>
          <w:rFonts w:hint="eastAsia"/>
          <w:sz w:val="28"/>
          <w:szCs w:val="28"/>
        </w:rPr>
        <w:instrText xml:space="preserve"> </w:instrText>
      </w:r>
      <w:r>
        <w:rPr>
          <w:rFonts w:hint="eastAsia"/>
          <w:sz w:val="28"/>
          <w:szCs w:val="28"/>
        </w:rPr>
        <w:fldChar w:fldCharType="separate"/>
      </w:r>
      <w:r>
        <w:rPr>
          <w:sz w:val="28"/>
          <w:szCs w:val="28"/>
        </w:rPr>
        <w:t>3</w:t>
      </w:r>
      <w:r>
        <w:rPr>
          <w:rFonts w:hint="eastAsia"/>
          <w:sz w:val="28"/>
          <w:szCs w:val="28"/>
        </w:rPr>
        <w:fldChar w:fldCharType="end"/>
      </w:r>
      <w:r>
        <w:rPr>
          <w:rFonts w:hint="eastAsia"/>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"_Toc198553285" </w:instrText>
      </w:r>
      <w:r>
        <w:fldChar w:fldCharType="separate"/>
      </w:r>
      <w:r>
        <w:rPr>
          <w:rStyle w:val="16"/>
          <w:rFonts w:hint="eastAsia" w:ascii="楷体_GB2312" w:hAnsi="楷体_GB2312" w:eastAsia="楷体_GB2312" w:cs="楷体_GB2312"/>
          <w:kern w:val="0"/>
          <w:sz w:val="28"/>
          <w:szCs w:val="28"/>
        </w:rPr>
        <w:t>（二）绩效评价原则、评价指标体系、评价方法、评价标准</w:t>
      </w:r>
      <w:r>
        <w:rPr>
          <w:rFonts w:hint="eastAsia"/>
          <w:sz w:val="28"/>
          <w:szCs w:val="28"/>
        </w:rPr>
        <w:tab/>
      </w:r>
      <w:r>
        <w:rPr>
          <w:rFonts w:hint="eastAsia"/>
          <w:sz w:val="28"/>
          <w:szCs w:val="28"/>
        </w:rPr>
        <w:fldChar w:fldCharType="begin"/>
      </w:r>
      <w:r>
        <w:rPr>
          <w:rFonts w:hint="eastAsia"/>
          <w:sz w:val="28"/>
          <w:szCs w:val="28"/>
        </w:rPr>
        <w:instrText xml:space="preserve"> </w:instrText>
      </w:r>
      <w:r>
        <w:rPr>
          <w:sz w:val="28"/>
          <w:szCs w:val="28"/>
        </w:rPr>
        <w:instrText xml:space="preserve">PAGEREF _Toc198553285 \h</w:instrText>
      </w:r>
      <w:r>
        <w:rPr>
          <w:rFonts w:hint="eastAsia"/>
          <w:sz w:val="28"/>
          <w:szCs w:val="28"/>
        </w:rPr>
        <w:instrText xml:space="preserve"> </w:instrText>
      </w:r>
      <w:r>
        <w:rPr>
          <w:rFonts w:hint="eastAsia"/>
          <w:sz w:val="28"/>
          <w:szCs w:val="28"/>
        </w:rPr>
        <w:fldChar w:fldCharType="separate"/>
      </w:r>
      <w:r>
        <w:rPr>
          <w:sz w:val="28"/>
          <w:szCs w:val="28"/>
        </w:rPr>
        <w:t>3</w:t>
      </w:r>
      <w:r>
        <w:rPr>
          <w:rFonts w:hint="eastAsia"/>
          <w:sz w:val="28"/>
          <w:szCs w:val="28"/>
        </w:rPr>
        <w:fldChar w:fldCharType="end"/>
      </w:r>
      <w:r>
        <w:rPr>
          <w:rFonts w:hint="eastAsia"/>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"_Toc198553286" </w:instrText>
      </w:r>
      <w:r>
        <w:fldChar w:fldCharType="separate"/>
      </w:r>
      <w:r>
        <w:rPr>
          <w:rStyle w:val="16"/>
          <w:rFonts w:hint="eastAsia" w:ascii="楷体_GB2312" w:hAnsi="楷体_GB2312" w:eastAsia="楷体_GB2312" w:cs="楷体_GB2312"/>
          <w:kern w:val="0"/>
          <w:sz w:val="28"/>
          <w:szCs w:val="28"/>
        </w:rPr>
        <w:t>（三）绩效评价工作过程</w:t>
      </w:r>
      <w:r>
        <w:rPr>
          <w:rFonts w:hint="eastAsia"/>
          <w:sz w:val="28"/>
          <w:szCs w:val="28"/>
        </w:rPr>
        <w:tab/>
      </w:r>
      <w:r>
        <w:rPr>
          <w:rFonts w:hint="eastAsia"/>
          <w:sz w:val="28"/>
          <w:szCs w:val="28"/>
        </w:rPr>
        <w:fldChar w:fldCharType="begin"/>
      </w:r>
      <w:r>
        <w:rPr>
          <w:rFonts w:hint="eastAsia"/>
          <w:sz w:val="28"/>
          <w:szCs w:val="28"/>
        </w:rPr>
        <w:instrText xml:space="preserve"> </w:instrText>
      </w:r>
      <w:r>
        <w:rPr>
          <w:sz w:val="28"/>
          <w:szCs w:val="28"/>
        </w:rPr>
        <w:instrText xml:space="preserve">PAGEREF _Toc198553286 \h</w:instrText>
      </w:r>
      <w:r>
        <w:rPr>
          <w:rFonts w:hint="eastAsia"/>
          <w:sz w:val="28"/>
          <w:szCs w:val="28"/>
        </w:rPr>
        <w:instrText xml:space="preserve"> </w:instrText>
      </w:r>
      <w:r>
        <w:rPr>
          <w:rFonts w:hint="eastAsia"/>
          <w:sz w:val="28"/>
          <w:szCs w:val="28"/>
        </w:rPr>
        <w:fldChar w:fldCharType="separate"/>
      </w:r>
      <w:r>
        <w:rPr>
          <w:sz w:val="28"/>
          <w:szCs w:val="28"/>
        </w:rPr>
        <w:t>6</w:t>
      </w:r>
      <w:r>
        <w:rPr>
          <w:rFonts w:hint="eastAsia"/>
          <w:sz w:val="28"/>
          <w:szCs w:val="28"/>
        </w:rPr>
        <w:fldChar w:fldCharType="end"/>
      </w:r>
      <w:r>
        <w:rPr>
          <w:rFonts w:hint="eastAsia"/>
          <w:sz w:val="28"/>
          <w:szCs w:val="28"/>
        </w:rPr>
        <w:fldChar w:fldCharType="end"/>
      </w:r>
    </w:p>
    <w:p>
      <w:pPr>
        <w:pStyle w:val="10"/>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"_Toc198553287" </w:instrText>
      </w:r>
      <w:r>
        <w:fldChar w:fldCharType="separate"/>
      </w:r>
      <w:r>
        <w:rPr>
          <w:rStyle w:val="16"/>
          <w:rFonts w:hint="eastAsia" w:ascii="黑体" w:hAnsi="黑体" w:eastAsia="黑体"/>
          <w:sz w:val="28"/>
          <w:szCs w:val="28"/>
        </w:rPr>
        <w:t>三、综合评价情况及评价结论</w:t>
      </w:r>
      <w:r>
        <w:rPr>
          <w:rFonts w:hint="eastAsia"/>
          <w:sz w:val="28"/>
          <w:szCs w:val="28"/>
        </w:rPr>
        <w:tab/>
      </w:r>
      <w:r>
        <w:rPr>
          <w:rFonts w:hint="eastAsia"/>
          <w:sz w:val="28"/>
          <w:szCs w:val="28"/>
        </w:rPr>
        <w:fldChar w:fldCharType="begin"/>
      </w:r>
      <w:r>
        <w:rPr>
          <w:rFonts w:hint="eastAsia"/>
          <w:sz w:val="28"/>
          <w:szCs w:val="28"/>
        </w:rPr>
        <w:instrText xml:space="preserve"> </w:instrText>
      </w:r>
      <w:r>
        <w:rPr>
          <w:sz w:val="28"/>
          <w:szCs w:val="28"/>
        </w:rPr>
        <w:instrText xml:space="preserve">PAGEREF _Toc198553287 \h</w:instrText>
      </w:r>
      <w:r>
        <w:rPr>
          <w:rFonts w:hint="eastAsia"/>
          <w:sz w:val="28"/>
          <w:szCs w:val="28"/>
        </w:rPr>
        <w:instrText xml:space="preserve"> </w:instrText>
      </w:r>
      <w:r>
        <w:rPr>
          <w:rFonts w:hint="eastAsia"/>
          <w:sz w:val="28"/>
          <w:szCs w:val="28"/>
        </w:rPr>
        <w:fldChar w:fldCharType="separate"/>
      </w:r>
      <w:r>
        <w:rPr>
          <w:sz w:val="28"/>
          <w:szCs w:val="28"/>
        </w:rPr>
        <w:t>7</w:t>
      </w:r>
      <w:r>
        <w:rPr>
          <w:rFonts w:hint="eastAsia"/>
          <w:sz w:val="28"/>
          <w:szCs w:val="28"/>
        </w:rPr>
        <w:fldChar w:fldCharType="end"/>
      </w:r>
      <w:r>
        <w:rPr>
          <w:rFonts w:hint="eastAsia"/>
          <w:sz w:val="28"/>
          <w:szCs w:val="28"/>
        </w:rPr>
        <w:fldChar w:fldCharType="end"/>
      </w:r>
    </w:p>
    <w:p>
      <w:pPr>
        <w:pStyle w:val="10"/>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"_Toc198553288" </w:instrText>
      </w:r>
      <w:r>
        <w:fldChar w:fldCharType="separate"/>
      </w:r>
      <w:r>
        <w:rPr>
          <w:rStyle w:val="16"/>
          <w:rFonts w:hint="eastAsia" w:ascii="黑体" w:hAnsi="黑体" w:eastAsia="黑体"/>
          <w:sz w:val="28"/>
          <w:szCs w:val="28"/>
        </w:rPr>
        <w:t>四、绩效评价指标分析</w:t>
      </w:r>
      <w:r>
        <w:rPr>
          <w:rFonts w:hint="eastAsia"/>
          <w:sz w:val="28"/>
          <w:szCs w:val="28"/>
        </w:rPr>
        <w:tab/>
      </w:r>
      <w:r>
        <w:rPr>
          <w:rFonts w:hint="eastAsia"/>
          <w:sz w:val="28"/>
          <w:szCs w:val="28"/>
        </w:rPr>
        <w:fldChar w:fldCharType="begin"/>
      </w:r>
      <w:r>
        <w:rPr>
          <w:rFonts w:hint="eastAsia"/>
          <w:sz w:val="28"/>
          <w:szCs w:val="28"/>
        </w:rPr>
        <w:instrText xml:space="preserve"> </w:instrText>
      </w:r>
      <w:r>
        <w:rPr>
          <w:sz w:val="28"/>
          <w:szCs w:val="28"/>
        </w:rPr>
        <w:instrText xml:space="preserve">PAGEREF _Toc198553288 \h</w:instrText>
      </w:r>
      <w:r>
        <w:rPr>
          <w:rFonts w:hint="eastAsia"/>
          <w:sz w:val="28"/>
          <w:szCs w:val="28"/>
        </w:rPr>
        <w:instrText xml:space="preserve"> </w:instrText>
      </w:r>
      <w:r>
        <w:rPr>
          <w:rFonts w:hint="eastAsia"/>
          <w:sz w:val="28"/>
          <w:szCs w:val="28"/>
        </w:rPr>
        <w:fldChar w:fldCharType="separate"/>
      </w:r>
      <w:r>
        <w:rPr>
          <w:sz w:val="28"/>
          <w:szCs w:val="28"/>
        </w:rPr>
        <w:t>8</w:t>
      </w:r>
      <w:r>
        <w:rPr>
          <w:rFonts w:hint="eastAsia"/>
          <w:sz w:val="28"/>
          <w:szCs w:val="28"/>
        </w:rPr>
        <w:fldChar w:fldCharType="end"/>
      </w:r>
      <w:r>
        <w:rPr>
          <w:rFonts w:hint="eastAsia"/>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"_Toc198553289" </w:instrText>
      </w:r>
      <w:r>
        <w:fldChar w:fldCharType="separate"/>
      </w:r>
      <w:r>
        <w:rPr>
          <w:rStyle w:val="16"/>
          <w:rFonts w:hint="eastAsia" w:ascii="楷体_GB2312" w:hAnsi="Arial" w:eastAsia="楷体_GB2312" w:cs="Arial"/>
          <w:bCs/>
          <w:sz w:val="28"/>
          <w:szCs w:val="28"/>
        </w:rPr>
        <w:t>（一）项目决策情况</w:t>
      </w:r>
      <w:r>
        <w:rPr>
          <w:rFonts w:hint="eastAsia"/>
          <w:sz w:val="28"/>
          <w:szCs w:val="28"/>
        </w:rPr>
        <w:tab/>
      </w:r>
      <w:r>
        <w:rPr>
          <w:rFonts w:hint="eastAsia"/>
          <w:sz w:val="28"/>
          <w:szCs w:val="28"/>
        </w:rPr>
        <w:fldChar w:fldCharType="begin"/>
      </w:r>
      <w:r>
        <w:rPr>
          <w:rFonts w:hint="eastAsia"/>
          <w:sz w:val="28"/>
          <w:szCs w:val="28"/>
        </w:rPr>
        <w:instrText xml:space="preserve"> </w:instrText>
      </w:r>
      <w:r>
        <w:rPr>
          <w:sz w:val="28"/>
          <w:szCs w:val="28"/>
        </w:rPr>
        <w:instrText xml:space="preserve">PAGEREF _Toc198553289 \h</w:instrText>
      </w:r>
      <w:r>
        <w:rPr>
          <w:rFonts w:hint="eastAsia"/>
          <w:sz w:val="28"/>
          <w:szCs w:val="28"/>
        </w:rPr>
        <w:instrText xml:space="preserve"> </w:instrText>
      </w:r>
      <w:r>
        <w:rPr>
          <w:rFonts w:hint="eastAsia"/>
          <w:sz w:val="28"/>
          <w:szCs w:val="28"/>
        </w:rPr>
        <w:fldChar w:fldCharType="separate"/>
      </w:r>
      <w:r>
        <w:rPr>
          <w:sz w:val="28"/>
          <w:szCs w:val="28"/>
        </w:rPr>
        <w:t>8</w:t>
      </w:r>
      <w:r>
        <w:rPr>
          <w:rFonts w:hint="eastAsia"/>
          <w:sz w:val="28"/>
          <w:szCs w:val="28"/>
        </w:rPr>
        <w:fldChar w:fldCharType="end"/>
      </w:r>
      <w:r>
        <w:rPr>
          <w:rFonts w:hint="eastAsia"/>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"_Toc198553290" </w:instrText>
      </w:r>
      <w:r>
        <w:fldChar w:fldCharType="separate"/>
      </w:r>
      <w:r>
        <w:rPr>
          <w:rStyle w:val="16"/>
          <w:rFonts w:hint="eastAsia" w:ascii="楷体_GB2312" w:hAnsi="Arial" w:eastAsia="楷体_GB2312" w:cs="Arial"/>
          <w:bCs/>
          <w:sz w:val="28"/>
          <w:szCs w:val="28"/>
        </w:rPr>
        <w:t>（二）项目过程情况</w:t>
      </w:r>
      <w:r>
        <w:rPr>
          <w:rFonts w:hint="eastAsia"/>
          <w:sz w:val="28"/>
          <w:szCs w:val="28"/>
        </w:rPr>
        <w:tab/>
      </w:r>
      <w:r>
        <w:rPr>
          <w:rFonts w:hint="eastAsia"/>
          <w:sz w:val="28"/>
          <w:szCs w:val="28"/>
        </w:rPr>
        <w:fldChar w:fldCharType="begin"/>
      </w:r>
      <w:r>
        <w:rPr>
          <w:rFonts w:hint="eastAsia"/>
          <w:sz w:val="28"/>
          <w:szCs w:val="28"/>
        </w:rPr>
        <w:instrText xml:space="preserve"> </w:instrText>
      </w:r>
      <w:r>
        <w:rPr>
          <w:sz w:val="28"/>
          <w:szCs w:val="28"/>
        </w:rPr>
        <w:instrText xml:space="preserve">PAGEREF _Toc198553290 \h</w:instrText>
      </w:r>
      <w:r>
        <w:rPr>
          <w:rFonts w:hint="eastAsia"/>
          <w:sz w:val="28"/>
          <w:szCs w:val="28"/>
        </w:rPr>
        <w:instrText xml:space="preserve"> </w:instrText>
      </w:r>
      <w:r>
        <w:rPr>
          <w:rFonts w:hint="eastAsia"/>
          <w:sz w:val="28"/>
          <w:szCs w:val="28"/>
        </w:rPr>
        <w:fldChar w:fldCharType="separate"/>
      </w:r>
      <w:r>
        <w:rPr>
          <w:sz w:val="28"/>
          <w:szCs w:val="28"/>
        </w:rPr>
        <w:t>8</w:t>
      </w:r>
      <w:r>
        <w:rPr>
          <w:rFonts w:hint="eastAsia"/>
          <w:sz w:val="28"/>
          <w:szCs w:val="28"/>
        </w:rPr>
        <w:fldChar w:fldCharType="end"/>
      </w:r>
      <w:r>
        <w:rPr>
          <w:rFonts w:hint="eastAsia"/>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"_Toc198553291" </w:instrText>
      </w:r>
      <w:r>
        <w:fldChar w:fldCharType="separate"/>
      </w:r>
      <w:r>
        <w:rPr>
          <w:rStyle w:val="16"/>
          <w:rFonts w:hint="eastAsia" w:ascii="楷体_GB2312" w:hAnsi="Arial" w:eastAsia="楷体_GB2312" w:cs="Arial"/>
          <w:bCs/>
          <w:sz w:val="28"/>
          <w:szCs w:val="28"/>
        </w:rPr>
        <w:t>（三）项目产出情况</w:t>
      </w:r>
      <w:r>
        <w:rPr>
          <w:rFonts w:hint="eastAsia"/>
          <w:sz w:val="28"/>
          <w:szCs w:val="28"/>
        </w:rPr>
        <w:tab/>
      </w:r>
      <w:r>
        <w:rPr>
          <w:rFonts w:hint="eastAsia"/>
          <w:sz w:val="28"/>
          <w:szCs w:val="28"/>
        </w:rPr>
        <w:fldChar w:fldCharType="begin"/>
      </w:r>
      <w:r>
        <w:rPr>
          <w:rFonts w:hint="eastAsia"/>
          <w:sz w:val="28"/>
          <w:szCs w:val="28"/>
        </w:rPr>
        <w:instrText xml:space="preserve"> </w:instrText>
      </w:r>
      <w:r>
        <w:rPr>
          <w:sz w:val="28"/>
          <w:szCs w:val="28"/>
        </w:rPr>
        <w:instrText xml:space="preserve">PAGEREF _Toc198553291 \h</w:instrText>
      </w:r>
      <w:r>
        <w:rPr>
          <w:rFonts w:hint="eastAsia"/>
          <w:sz w:val="28"/>
          <w:szCs w:val="28"/>
        </w:rPr>
        <w:instrText xml:space="preserve"> </w:instrText>
      </w:r>
      <w:r>
        <w:rPr>
          <w:rFonts w:hint="eastAsia"/>
          <w:sz w:val="28"/>
          <w:szCs w:val="28"/>
        </w:rPr>
        <w:fldChar w:fldCharType="separate"/>
      </w:r>
      <w:r>
        <w:rPr>
          <w:sz w:val="28"/>
          <w:szCs w:val="28"/>
        </w:rPr>
        <w:t>10</w:t>
      </w:r>
      <w:r>
        <w:rPr>
          <w:rFonts w:hint="eastAsia"/>
          <w:sz w:val="28"/>
          <w:szCs w:val="28"/>
        </w:rPr>
        <w:fldChar w:fldCharType="end"/>
      </w:r>
      <w:r>
        <w:rPr>
          <w:rFonts w:hint="eastAsia"/>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"_Toc198553292" </w:instrText>
      </w:r>
      <w:r>
        <w:fldChar w:fldCharType="separate"/>
      </w:r>
      <w:r>
        <w:rPr>
          <w:rStyle w:val="16"/>
          <w:rFonts w:hint="eastAsia" w:ascii="楷体_GB2312" w:hAnsi="Arial" w:eastAsia="楷体_GB2312" w:cs="Arial"/>
          <w:bCs/>
          <w:sz w:val="28"/>
          <w:szCs w:val="28"/>
        </w:rPr>
        <w:t>（四）项目效益情况</w:t>
      </w:r>
      <w:r>
        <w:rPr>
          <w:rFonts w:hint="eastAsia"/>
          <w:sz w:val="28"/>
          <w:szCs w:val="28"/>
        </w:rPr>
        <w:tab/>
      </w:r>
      <w:r>
        <w:rPr>
          <w:rFonts w:hint="eastAsia"/>
          <w:sz w:val="28"/>
          <w:szCs w:val="28"/>
        </w:rPr>
        <w:fldChar w:fldCharType="begin"/>
      </w:r>
      <w:r>
        <w:rPr>
          <w:rFonts w:hint="eastAsia"/>
          <w:sz w:val="28"/>
          <w:szCs w:val="28"/>
        </w:rPr>
        <w:instrText xml:space="preserve"> </w:instrText>
      </w:r>
      <w:r>
        <w:rPr>
          <w:sz w:val="28"/>
          <w:szCs w:val="28"/>
        </w:rPr>
        <w:instrText xml:space="preserve">PAGEREF _Toc198553292 \h</w:instrText>
      </w:r>
      <w:r>
        <w:rPr>
          <w:rFonts w:hint="eastAsia"/>
          <w:sz w:val="28"/>
          <w:szCs w:val="28"/>
        </w:rPr>
        <w:instrText xml:space="preserve"> </w:instrText>
      </w:r>
      <w:r>
        <w:rPr>
          <w:rFonts w:hint="eastAsia"/>
          <w:sz w:val="28"/>
          <w:szCs w:val="28"/>
        </w:rPr>
        <w:fldChar w:fldCharType="separate"/>
      </w:r>
      <w:r>
        <w:rPr>
          <w:sz w:val="28"/>
          <w:szCs w:val="28"/>
        </w:rPr>
        <w:t>10</w:t>
      </w:r>
      <w:r>
        <w:rPr>
          <w:rFonts w:hint="eastAsia"/>
          <w:sz w:val="28"/>
          <w:szCs w:val="28"/>
        </w:rPr>
        <w:fldChar w:fldCharType="end"/>
      </w:r>
      <w:r>
        <w:rPr>
          <w:rFonts w:hint="eastAsia"/>
          <w:sz w:val="28"/>
          <w:szCs w:val="28"/>
        </w:rPr>
        <w:fldChar w:fldCharType="end"/>
      </w:r>
    </w:p>
    <w:p>
      <w:pPr>
        <w:pStyle w:val="10"/>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"_Toc198553293" </w:instrText>
      </w:r>
      <w:r>
        <w:fldChar w:fldCharType="separate"/>
      </w:r>
      <w:r>
        <w:rPr>
          <w:rStyle w:val="16"/>
          <w:rFonts w:hint="eastAsia" w:ascii="黑体" w:hAnsi="黑体" w:eastAsia="黑体"/>
          <w:sz w:val="28"/>
          <w:szCs w:val="28"/>
        </w:rPr>
        <w:t>五、主要经验及做法、存在的问题及原因分析</w:t>
      </w:r>
      <w:r>
        <w:rPr>
          <w:rFonts w:hint="eastAsia"/>
          <w:sz w:val="28"/>
          <w:szCs w:val="28"/>
        </w:rPr>
        <w:tab/>
      </w:r>
      <w:r>
        <w:rPr>
          <w:rFonts w:hint="eastAsia"/>
          <w:sz w:val="28"/>
          <w:szCs w:val="28"/>
        </w:rPr>
        <w:fldChar w:fldCharType="begin"/>
      </w:r>
      <w:r>
        <w:rPr>
          <w:rFonts w:hint="eastAsia"/>
          <w:sz w:val="28"/>
          <w:szCs w:val="28"/>
        </w:rPr>
        <w:instrText xml:space="preserve"> </w:instrText>
      </w:r>
      <w:r>
        <w:rPr>
          <w:sz w:val="28"/>
          <w:szCs w:val="28"/>
        </w:rPr>
        <w:instrText xml:space="preserve">PAGEREF _Toc198553293 \h</w:instrText>
      </w:r>
      <w:r>
        <w:rPr>
          <w:rFonts w:hint="eastAsia"/>
          <w:sz w:val="28"/>
          <w:szCs w:val="28"/>
        </w:rPr>
        <w:instrText xml:space="preserve"> </w:instrText>
      </w:r>
      <w:r>
        <w:rPr>
          <w:rFonts w:hint="eastAsia"/>
          <w:sz w:val="28"/>
          <w:szCs w:val="28"/>
        </w:rPr>
        <w:fldChar w:fldCharType="separate"/>
      </w:r>
      <w:r>
        <w:rPr>
          <w:sz w:val="28"/>
          <w:szCs w:val="28"/>
        </w:rPr>
        <w:t>11</w:t>
      </w:r>
      <w:r>
        <w:rPr>
          <w:rFonts w:hint="eastAsia"/>
          <w:sz w:val="28"/>
          <w:szCs w:val="28"/>
        </w:rPr>
        <w:fldChar w:fldCharType="end"/>
      </w:r>
      <w:r>
        <w:rPr>
          <w:rFonts w:hint="eastAsia"/>
          <w:sz w:val="28"/>
          <w:szCs w:val="28"/>
        </w:rPr>
        <w:fldChar w:fldCharType="end"/>
      </w:r>
    </w:p>
    <w:p>
      <w:pPr>
        <w:pStyle w:val="11"/>
        <w:tabs>
          <w:tab w:val="right" w:leader="dot" w:pos="8296"/>
        </w:tabs>
        <w:spacing w:line="300" w:lineRule="exact"/>
        <w:rPr>
          <w:rFonts w:asciiTheme="minorHAnsi" w:hAnsiTheme="minorHAnsi" w:eastAsiaTheme="minorEastAsia" w:cstheme="minorBidi"/>
          <w:sz w:val="28"/>
          <w:szCs w:val="28"/>
          <w14:ligatures w14:val="standardContextual"/>
        </w:rPr>
      </w:pPr>
      <w:r>
        <w:fldChar w:fldCharType="begin"/>
      </w:r>
      <w:r>
        <w:instrText xml:space="preserve"> HYPERLINK \l "_Toc198553294" </w:instrText>
      </w:r>
      <w:r>
        <w:fldChar w:fldCharType="separate"/>
      </w:r>
      <w:r>
        <w:rPr>
          <w:rStyle w:val="16"/>
          <w:rFonts w:hint="eastAsia" w:ascii="楷体_GB2312" w:hAnsi="楷体_GB2312" w:eastAsia="楷体_GB2312" w:cs="楷体_GB2312"/>
          <w:sz w:val="28"/>
          <w:szCs w:val="28"/>
        </w:rPr>
        <w:t>（一）主要经验及做法</w:t>
      </w:r>
      <w:r>
        <w:rPr>
          <w:rFonts w:hint="eastAsia"/>
          <w:sz w:val="28"/>
          <w:szCs w:val="28"/>
        </w:rPr>
        <w:tab/>
      </w:r>
      <w:r>
        <w:rPr>
          <w:rFonts w:hint="eastAsia"/>
          <w:sz w:val="28"/>
          <w:szCs w:val="28"/>
        </w:rPr>
        <w:fldChar w:fldCharType="begin"/>
      </w:r>
      <w:r>
        <w:rPr>
          <w:rFonts w:hint="eastAsia"/>
          <w:sz w:val="28"/>
          <w:szCs w:val="28"/>
        </w:rPr>
        <w:instrText xml:space="preserve"> </w:instrText>
      </w:r>
      <w:r>
        <w:rPr>
          <w:sz w:val="28"/>
          <w:szCs w:val="28"/>
        </w:rPr>
        <w:instrText xml:space="preserve">PAGEREF _Toc198553294 \h</w:instrText>
      </w:r>
      <w:r>
        <w:rPr>
          <w:rFonts w:hint="eastAsia"/>
          <w:sz w:val="28"/>
          <w:szCs w:val="28"/>
        </w:rPr>
        <w:instrText xml:space="preserve"> </w:instrText>
      </w:r>
      <w:r>
        <w:rPr>
          <w:rFonts w:hint="eastAsia"/>
          <w:sz w:val="28"/>
          <w:szCs w:val="28"/>
        </w:rPr>
        <w:fldChar w:fldCharType="separate"/>
      </w:r>
      <w:r>
        <w:rPr>
          <w:sz w:val="28"/>
          <w:szCs w:val="28"/>
        </w:rPr>
        <w:t>11</w:t>
      </w:r>
      <w:r>
        <w:rPr>
          <w:rFonts w:hint="eastAsia"/>
          <w:sz w:val="28"/>
          <w:szCs w:val="28"/>
        </w:rPr>
        <w:fldChar w:fldCharType="end"/>
      </w:r>
      <w:r>
        <w:rPr>
          <w:rFonts w:hint="eastAsia"/>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"_Toc198553295" </w:instrText>
      </w:r>
      <w:r>
        <w:fldChar w:fldCharType="separate"/>
      </w:r>
      <w:r>
        <w:rPr>
          <w:rStyle w:val="16"/>
          <w:rFonts w:hint="eastAsia" w:ascii="楷体_GB2312" w:hAnsi="楷体_GB2312" w:eastAsia="楷体_GB2312" w:cs="楷体_GB2312"/>
          <w:sz w:val="28"/>
          <w:szCs w:val="28"/>
        </w:rPr>
        <w:t>（二）存在的问题及原因分析</w:t>
      </w:r>
      <w:r>
        <w:rPr>
          <w:rFonts w:hint="eastAsia"/>
          <w:sz w:val="28"/>
          <w:szCs w:val="28"/>
        </w:rPr>
        <w:tab/>
      </w:r>
      <w:r>
        <w:rPr>
          <w:rFonts w:hint="eastAsia"/>
          <w:sz w:val="28"/>
          <w:szCs w:val="28"/>
        </w:rPr>
        <w:fldChar w:fldCharType="begin"/>
      </w:r>
      <w:r>
        <w:rPr>
          <w:rFonts w:hint="eastAsia"/>
          <w:sz w:val="28"/>
          <w:szCs w:val="28"/>
        </w:rPr>
        <w:instrText xml:space="preserve"> </w:instrText>
      </w:r>
      <w:r>
        <w:rPr>
          <w:sz w:val="28"/>
          <w:szCs w:val="28"/>
        </w:rPr>
        <w:instrText xml:space="preserve">PAGEREF _Toc198553295 \h</w:instrText>
      </w:r>
      <w:r>
        <w:rPr>
          <w:rFonts w:hint="eastAsia"/>
          <w:sz w:val="28"/>
          <w:szCs w:val="28"/>
        </w:rPr>
        <w:instrText xml:space="preserve"> </w:instrText>
      </w:r>
      <w:r>
        <w:rPr>
          <w:rFonts w:hint="eastAsia"/>
          <w:sz w:val="28"/>
          <w:szCs w:val="28"/>
        </w:rPr>
        <w:fldChar w:fldCharType="separate"/>
      </w:r>
      <w:r>
        <w:rPr>
          <w:sz w:val="28"/>
          <w:szCs w:val="28"/>
        </w:rPr>
        <w:t>11</w:t>
      </w:r>
      <w:r>
        <w:rPr>
          <w:rFonts w:hint="eastAsia"/>
          <w:sz w:val="28"/>
          <w:szCs w:val="28"/>
        </w:rPr>
        <w:fldChar w:fldCharType="end"/>
      </w:r>
      <w:r>
        <w:rPr>
          <w:rFonts w:hint="eastAsia"/>
          <w:sz w:val="28"/>
          <w:szCs w:val="28"/>
        </w:rPr>
        <w:fldChar w:fldCharType="end"/>
      </w:r>
    </w:p>
    <w:p>
      <w:pPr>
        <w:pStyle w:val="10"/>
        <w:tabs>
          <w:tab w:val="right" w:leader="dot" w:pos="8296"/>
        </w:tabs>
        <w:spacing w:after="0" w:line="340" w:lineRule="exact"/>
        <w:rPr>
          <w:rFonts w:asciiTheme="minorHAnsi" w:hAnsiTheme="minorHAnsi" w:eastAsiaTheme="minorEastAsia" w:cstheme="minorBidi"/>
          <w:sz w:val="28"/>
          <w:szCs w:val="28"/>
          <w14:ligatures w14:val="standardContextual"/>
        </w:rPr>
      </w:pPr>
      <w:r>
        <w:fldChar w:fldCharType="begin"/>
      </w:r>
      <w:r>
        <w:instrText xml:space="preserve"> HYPERLINK \l "_Toc198553296" </w:instrText>
      </w:r>
      <w:r>
        <w:fldChar w:fldCharType="separate"/>
      </w:r>
      <w:r>
        <w:rPr>
          <w:rStyle w:val="16"/>
          <w:rFonts w:hint="eastAsia" w:ascii="黑体" w:hAnsi="黑体" w:eastAsia="黑体"/>
          <w:sz w:val="28"/>
          <w:szCs w:val="28"/>
        </w:rPr>
        <w:t>六、有关建议</w:t>
      </w:r>
      <w:r>
        <w:rPr>
          <w:rFonts w:hint="eastAsia"/>
          <w:sz w:val="28"/>
          <w:szCs w:val="28"/>
        </w:rPr>
        <w:tab/>
      </w:r>
      <w:r>
        <w:rPr>
          <w:rFonts w:hint="eastAsia"/>
          <w:sz w:val="28"/>
          <w:szCs w:val="28"/>
        </w:rPr>
        <w:fldChar w:fldCharType="begin"/>
      </w:r>
      <w:r>
        <w:rPr>
          <w:rFonts w:hint="eastAsia"/>
          <w:sz w:val="28"/>
          <w:szCs w:val="28"/>
        </w:rPr>
        <w:instrText xml:space="preserve"> </w:instrText>
      </w:r>
      <w:r>
        <w:rPr>
          <w:sz w:val="28"/>
          <w:szCs w:val="28"/>
        </w:rPr>
        <w:instrText xml:space="preserve">PAGEREF _Toc198553296 \h</w:instrText>
      </w:r>
      <w:r>
        <w:rPr>
          <w:rFonts w:hint="eastAsia"/>
          <w:sz w:val="28"/>
          <w:szCs w:val="28"/>
        </w:rPr>
        <w:instrText xml:space="preserve"> </w:instrText>
      </w:r>
      <w:r>
        <w:rPr>
          <w:rFonts w:hint="eastAsia"/>
          <w:sz w:val="28"/>
          <w:szCs w:val="28"/>
        </w:rPr>
        <w:fldChar w:fldCharType="separate"/>
      </w:r>
      <w:r>
        <w:rPr>
          <w:sz w:val="28"/>
          <w:szCs w:val="28"/>
        </w:rPr>
        <w:t>12</w:t>
      </w:r>
      <w:r>
        <w:rPr>
          <w:rFonts w:hint="eastAsia"/>
          <w:sz w:val="28"/>
          <w:szCs w:val="28"/>
        </w:rPr>
        <w:fldChar w:fldCharType="end"/>
      </w:r>
      <w:r>
        <w:rPr>
          <w:rFonts w:hint="eastAsia"/>
          <w:sz w:val="28"/>
          <w:szCs w:val="28"/>
        </w:rPr>
        <w:fldChar w:fldCharType="end"/>
      </w:r>
    </w:p>
    <w:p>
      <w:pPr>
        <w:pStyle w:val="10"/>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"_Toc198553297" </w:instrText>
      </w:r>
      <w:r>
        <w:fldChar w:fldCharType="separate"/>
      </w:r>
      <w:r>
        <w:rPr>
          <w:rStyle w:val="16"/>
          <w:rFonts w:hint="eastAsia" w:ascii="黑体" w:hAnsi="黑体" w:eastAsia="黑体"/>
          <w:sz w:val="28"/>
          <w:szCs w:val="28"/>
        </w:rPr>
        <w:t>七、其他需要说明的问题</w:t>
      </w:r>
      <w:r>
        <w:rPr>
          <w:rFonts w:hint="eastAsia"/>
          <w:sz w:val="28"/>
          <w:szCs w:val="28"/>
        </w:rPr>
        <w:tab/>
      </w:r>
      <w:r>
        <w:rPr>
          <w:rFonts w:hint="eastAsia"/>
          <w:sz w:val="28"/>
          <w:szCs w:val="28"/>
        </w:rPr>
        <w:fldChar w:fldCharType="begin"/>
      </w:r>
      <w:r>
        <w:rPr>
          <w:rFonts w:hint="eastAsia"/>
          <w:sz w:val="28"/>
          <w:szCs w:val="28"/>
        </w:rPr>
        <w:instrText xml:space="preserve"> </w:instrText>
      </w:r>
      <w:r>
        <w:rPr>
          <w:sz w:val="28"/>
          <w:szCs w:val="28"/>
        </w:rPr>
        <w:instrText xml:space="preserve">PAGEREF _Toc198553297 \h</w:instrText>
      </w:r>
      <w:r>
        <w:rPr>
          <w:rFonts w:hint="eastAsia"/>
          <w:sz w:val="28"/>
          <w:szCs w:val="28"/>
        </w:rPr>
        <w:instrText xml:space="preserve"> </w:instrText>
      </w:r>
      <w:r>
        <w:rPr>
          <w:rFonts w:hint="eastAsia"/>
          <w:sz w:val="28"/>
          <w:szCs w:val="28"/>
        </w:rPr>
        <w:fldChar w:fldCharType="separate"/>
      </w:r>
      <w:r>
        <w:rPr>
          <w:sz w:val="28"/>
          <w:szCs w:val="28"/>
        </w:rPr>
        <w:t>12</w:t>
      </w:r>
      <w:r>
        <w:rPr>
          <w:rFonts w:hint="eastAsia"/>
          <w:sz w:val="28"/>
          <w:szCs w:val="28"/>
        </w:rPr>
        <w:fldChar w:fldCharType="end"/>
      </w:r>
      <w:r>
        <w:rPr>
          <w:rFonts w:hint="eastAsia"/>
          <w:sz w:val="28"/>
          <w:szCs w:val="28"/>
        </w:rPr>
        <w:fldChar w:fldCharType="end"/>
      </w:r>
    </w:p>
    <w:p>
      <w:pPr>
        <w:spacing w:before="156" w:beforeLines="50" w:after="240" w:line="500" w:lineRule="exact"/>
        <w:rPr>
          <w:rFonts w:hint="eastAsia" w:ascii="宋体" w:hAnsi="宋体"/>
          <w:sz w:val="28"/>
          <w:szCs w:val="28"/>
        </w:rPr>
        <w:sectPr>
          <w:headerReference r:id="rId5" w:type="default"/>
          <w:pgSz w:w="11906" w:h="16838"/>
          <w:pgMar w:top="1440" w:right="1800" w:bottom="1440" w:left="1800" w:header="851" w:footer="992" w:gutter="0"/>
          <w:pgNumType w:start="1"/>
          <w:cols w:space="720" w:num="1"/>
          <w:docGrid w:type="lines" w:linePitch="312" w:charSpace="0"/>
        </w:sectPr>
      </w:pPr>
      <w:r>
        <w:rPr>
          <w:rFonts w:hint="eastAsia" w:cs="宋体" w:asciiTheme="minorEastAsia" w:hAnsiTheme="minorEastAsia" w:eastAsiaTheme="minorEastAsia"/>
          <w:sz w:val="28"/>
          <w:szCs w:val="28"/>
        </w:rPr>
        <w:fldChar w:fldCharType="end"/>
      </w:r>
    </w:p>
    <w:p>
      <w:pPr>
        <w:spacing w:after="0" w:line="240" w:lineRule="auto"/>
        <w:rPr>
          <w:rFonts w:hint="eastAsia" w:ascii="宋体" w:hAnsi="宋体"/>
          <w:b/>
          <w:snapToGrid w:val="0"/>
          <w:kern w:val="0"/>
          <w:sz w:val="44"/>
          <w:szCs w:val="44"/>
        </w:rPr>
        <w:sectPr>
          <w:type w:val="continuous"/>
          <w:pgSz w:w="11906" w:h="16838"/>
          <w:pgMar w:top="1440" w:right="1800" w:bottom="1440" w:left="1800" w:header="851" w:footer="992" w:gutter="0"/>
          <w:pgNumType w:start="1"/>
          <w:cols w:space="720" w:num="1"/>
          <w:docGrid w:type="lines" w:linePitch="312" w:charSpace="0"/>
        </w:sectPr>
      </w:pPr>
    </w:p>
    <w:p>
      <w:pPr>
        <w:spacing w:line="560" w:lineRule="exact"/>
        <w:jc w:val="center"/>
        <w:rPr>
          <w:rFonts w:ascii="方正小标宋简体" w:eastAsia="方正小标宋简体"/>
          <w:sz w:val="44"/>
          <w:szCs w:val="44"/>
        </w:rPr>
      </w:pPr>
      <w:bookmarkStart w:id="0" w:name="_Toc429685098"/>
      <w:bookmarkStart w:id="1" w:name="_Toc485728084"/>
      <w:bookmarkStart w:id="2" w:name="_Toc428414998"/>
      <w:bookmarkStart w:id="3" w:name="_Toc425537590"/>
      <w:bookmarkStart w:id="4" w:name="_Toc26449"/>
      <w:bookmarkStart w:id="5" w:name="_Toc485728072"/>
      <w:bookmarkStart w:id="6" w:name="_Toc428524876"/>
      <w:bookmarkStart w:id="7" w:name="_Toc428717947"/>
      <w:bookmarkStart w:id="8" w:name="_Toc428415223"/>
      <w:bookmarkStart w:id="9" w:name="_Toc30166268"/>
      <w:r>
        <w:rPr>
          <w:rFonts w:hint="eastAsia" w:ascii="方正小标宋简体" w:eastAsia="方正小标宋简体"/>
          <w:sz w:val="44"/>
          <w:szCs w:val="44"/>
        </w:rPr>
        <w:t>北京市大兴区人民法院</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2024年度互联网接入费项目绩效评价报告</w:t>
      </w:r>
    </w:p>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为加强预算绩效管理，强化支出责任，建立科学、合理的财政支出绩效评价管理体系，提高财政资金使用效益，同时为提高财政支出管理水平，检验财政支出预期目标实现程度，考核财政支出效率和综合效果，为以后年度财政资金安排提供重要依据，根据《中共北京市委 北京市人民政府关于全面实施预算绩效管理的实施意见》、《北京市项目支出绩效评价管理办法》、北京市财政局关于印发《北京市市级政府购买服务预算绩效管理办法》的通知等文件规定，北京正衡东亚会计师事务所有限公司接受北京市大兴区人民法院（以下简称“大兴区法院”）的委托，成立了项目绩效考评工作组，对大兴区法院2024年实施的“互联网接入费”项目（以下简称“该项目”）的绩效情况实施部门绩效评价，形成本绩效评价报告。</w:t>
      </w:r>
    </w:p>
    <w:p>
      <w:pPr>
        <w:pStyle w:val="2"/>
        <w:tabs>
          <w:tab w:val="left" w:pos="588"/>
        </w:tabs>
        <w:spacing w:before="0" w:after="0" w:line="560" w:lineRule="exact"/>
        <w:ind w:firstLine="640" w:firstLineChars="200"/>
        <w:rPr>
          <w:rFonts w:hint="eastAsia" w:ascii="黑体" w:hAnsi="黑体" w:eastAsia="黑体"/>
          <w:b w:val="0"/>
          <w:sz w:val="32"/>
          <w:szCs w:val="32"/>
        </w:rPr>
      </w:pPr>
      <w:bookmarkStart w:id="10" w:name="_Toc198553280"/>
      <w:r>
        <w:rPr>
          <w:rFonts w:hint="eastAsia" w:ascii="黑体" w:hAnsi="黑体" w:eastAsia="黑体"/>
          <w:b w:val="0"/>
          <w:bCs w:val="0"/>
          <w:sz w:val="32"/>
          <w:szCs w:val="32"/>
        </w:rPr>
        <w:t>一、基本情况</w:t>
      </w:r>
      <w:bookmarkEnd w:id="10"/>
    </w:p>
    <w:p>
      <w:pPr>
        <w:widowControl/>
        <w:spacing w:after="0" w:line="560" w:lineRule="exact"/>
        <w:ind w:firstLine="640" w:firstLineChars="200"/>
        <w:outlineLvl w:val="1"/>
        <w:rPr>
          <w:rFonts w:ascii="楷体_GB2312" w:hAnsi="Arial" w:eastAsia="楷体_GB2312" w:cs="Arial"/>
          <w:bCs/>
          <w:sz w:val="32"/>
          <w:szCs w:val="32"/>
        </w:rPr>
      </w:pPr>
      <w:bookmarkStart w:id="11" w:name="_Toc198553281"/>
      <w:r>
        <w:rPr>
          <w:rFonts w:hint="eastAsia" w:ascii="楷体_GB2312" w:hAnsi="Arial" w:eastAsia="楷体_GB2312" w:cs="Arial"/>
          <w:bCs/>
          <w:sz w:val="32"/>
          <w:szCs w:val="32"/>
        </w:rPr>
        <w:t>（一）项目概况</w:t>
      </w:r>
      <w:bookmarkEnd w:id="11"/>
    </w:p>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1.项目背景</w:t>
      </w:r>
    </w:p>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通过专线服务，保障大兴区法院业务的连续性和稳定性；通过实时监控网络状态，快速发现并定位潜在问题，为大兴区法院建立完善的故障检测与应急处理机制，确保网络性能保持最佳状态。</w:t>
      </w:r>
    </w:p>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2.项目主要内容及实施情况</w:t>
      </w:r>
    </w:p>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项目主要内容：通过政府购买服务，委托中国联合网络通信有限公司北京市分公司为大兴区法院提供三条互联网专线，保障大兴区法院全年度互联网安全稳定运行。</w:t>
      </w:r>
    </w:p>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项目实施情况：大兴区法院委托中国联合网络通信有限公司北京市分公司开展2024年度互联网接入服务，服务包括三条专线的互联网宽带使用费及7*24不间断网络接入服务，重点保障重大活动及法定节假日期间的业务连续性和技术支持响应。专线全年运行期间，对网络状态进行实时监控，大兴区法院监督中国联合网络通信有限公司北京市分公司每个月对专线进行巡检并形成《专线巡检记录表》，每季度出具《巡检报告》，记录对设备外观、设备运行状态、机房环境、运行维护的检查内容，问题及处理情况。</w:t>
      </w:r>
    </w:p>
    <w:p>
      <w:pPr>
        <w:widowControl/>
        <w:shd w:val="clear" w:color="auto" w:fill="FFFFFF"/>
        <w:spacing w:after="0"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3.资金投入和使用情况</w:t>
      </w:r>
    </w:p>
    <w:p>
      <w:pPr>
        <w:widowControl/>
        <w:spacing w:after="0" w:line="560" w:lineRule="exact"/>
        <w:ind w:firstLine="640" w:firstLineChars="200"/>
        <w:rPr>
          <w:rFonts w:hint="eastAsia" w:ascii="仿宋_GB2312" w:hAnsi="仿宋" w:eastAsia="仿宋_GB2312"/>
          <w:sz w:val="32"/>
          <w:szCs w:val="32"/>
        </w:rPr>
      </w:pPr>
      <w:bookmarkStart w:id="12" w:name="_Toc27528"/>
      <w:bookmarkStart w:id="13" w:name="_Toc428524865"/>
      <w:bookmarkStart w:id="14" w:name="_Toc428414987"/>
      <w:bookmarkStart w:id="15" w:name="_Toc425537579"/>
      <w:bookmarkStart w:id="16" w:name="_Toc485728073"/>
      <w:bookmarkStart w:id="17" w:name="_Toc428415212"/>
      <w:r>
        <w:rPr>
          <w:rFonts w:hint="eastAsia" w:ascii="仿宋_GB2312" w:hAnsi="仿宋" w:eastAsia="仿宋_GB2312"/>
          <w:sz w:val="32"/>
          <w:szCs w:val="32"/>
        </w:rPr>
        <w:t>该项目2024年初预算资金69.00万元，项目实际支出69.00万元。大兴区法院按照合同约定，每季度支付互联网接入服务费17.25万元，2024年共支付四次，金额共计69.00万元。</w:t>
      </w:r>
    </w:p>
    <w:p>
      <w:pPr>
        <w:widowControl/>
        <w:spacing w:after="0" w:line="560" w:lineRule="exact"/>
        <w:ind w:firstLine="640" w:firstLineChars="200"/>
        <w:outlineLvl w:val="1"/>
        <w:rPr>
          <w:rFonts w:ascii="楷体_GB2312" w:hAnsi="Arial" w:eastAsia="楷体_GB2312" w:cs="Arial"/>
          <w:bCs/>
          <w:sz w:val="32"/>
          <w:szCs w:val="32"/>
        </w:rPr>
      </w:pPr>
      <w:bookmarkStart w:id="18" w:name="_Toc198553282"/>
      <w:r>
        <w:rPr>
          <w:rFonts w:hint="eastAsia" w:ascii="楷体_GB2312" w:hAnsi="Arial" w:eastAsia="楷体_GB2312" w:cs="Arial"/>
          <w:bCs/>
          <w:sz w:val="32"/>
          <w:szCs w:val="32"/>
        </w:rPr>
        <w:t>（二）项目绩效目标</w:t>
      </w:r>
      <w:bookmarkEnd w:id="12"/>
      <w:bookmarkEnd w:id="13"/>
      <w:bookmarkEnd w:id="14"/>
      <w:bookmarkEnd w:id="15"/>
      <w:bookmarkEnd w:id="16"/>
      <w:bookmarkEnd w:id="17"/>
      <w:bookmarkEnd w:id="18"/>
    </w:p>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1.总体指标</w:t>
      </w:r>
    </w:p>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通过此项目建立大兴区法院互联网网络，更好地发挥信息化的优势作用，为法院各项工作提供高效、优质的网络与相关服务，为大兴区法院审判业务、执行办案、司法行政等工作的开展提供支持。</w:t>
      </w:r>
    </w:p>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2.产出指标</w:t>
      </w:r>
    </w:p>
    <w:p>
      <w:pPr>
        <w:spacing w:after="0" w:line="560" w:lineRule="exact"/>
        <w:ind w:firstLine="640" w:firstLineChars="200"/>
        <w:rPr>
          <w:rFonts w:hint="eastAsia" w:ascii="仿宋_GB2312" w:hAnsi="仿宋" w:eastAsia="仿宋_GB2312"/>
          <w:sz w:val="32"/>
          <w:szCs w:val="32"/>
        </w:rPr>
      </w:pPr>
      <w:bookmarkStart w:id="19" w:name="_Hlk198304544"/>
      <w:r>
        <w:rPr>
          <w:rFonts w:hint="eastAsia" w:ascii="仿宋_GB2312" w:hAnsi="仿宋" w:eastAsia="仿宋_GB2312"/>
          <w:sz w:val="32"/>
          <w:szCs w:val="32"/>
        </w:rPr>
        <w:t>（1）数量指标：满足派出机构、诉调对接中心与院本部的组网需求8处。</w:t>
      </w:r>
    </w:p>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w:t>
      </w:r>
      <w:bookmarkStart w:id="20" w:name="_Hlk166342846"/>
      <w:r>
        <w:rPr>
          <w:rFonts w:hint="eastAsia" w:ascii="仿宋_GB2312" w:hAnsi="仿宋" w:eastAsia="仿宋_GB2312"/>
          <w:sz w:val="32"/>
          <w:szCs w:val="32"/>
        </w:rPr>
        <w:t>）质量指标：线路畅通合格率≥95%；保障线路畅通无故障，以保障互联网承载的调解业务、视频业务等的正常运行。</w:t>
      </w:r>
    </w:p>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（3）成本指标：月均服务费≤5.75万元。</w:t>
      </w:r>
    </w:p>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3.效益指标</w:t>
      </w:r>
    </w:p>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社会效益指标：互联网承载业务的正常运行，确保对当事人提供服务的及时性、可靠性、持续性。</w:t>
      </w:r>
    </w:p>
    <w:p>
      <w:pPr>
        <w:spacing w:after="0" w:line="560" w:lineRule="exact"/>
        <w:ind w:firstLine="640" w:firstLineChars="200"/>
        <w:rPr>
          <w:rFonts w:hint="eastAsia" w:ascii="仿宋_GB2312" w:hAnsi="仿宋" w:eastAsia="仿宋_GB2312"/>
          <w:sz w:val="32"/>
          <w:szCs w:val="32"/>
        </w:rPr>
      </w:pPr>
      <w:r>
        <w:rPr>
          <w:rFonts w:ascii="仿宋_GB2312" w:hAnsi="仿宋" w:eastAsia="仿宋_GB2312"/>
          <w:sz w:val="32"/>
          <w:szCs w:val="32"/>
        </w:rPr>
        <w:t>4</w:t>
      </w:r>
      <w:r>
        <w:rPr>
          <w:rFonts w:hint="eastAsia" w:ascii="仿宋_GB2312" w:hAnsi="仿宋" w:eastAsia="仿宋_GB2312"/>
          <w:sz w:val="32"/>
          <w:szCs w:val="32"/>
        </w:rPr>
        <w:t>.满意度指标</w:t>
      </w:r>
    </w:p>
    <w:bookmarkEnd w:id="20"/>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该项目未设置满意度指标。</w:t>
      </w:r>
    </w:p>
    <w:bookmarkEnd w:id="19"/>
    <w:p>
      <w:pPr>
        <w:pStyle w:val="2"/>
        <w:tabs>
          <w:tab w:val="left" w:pos="588"/>
        </w:tabs>
        <w:spacing w:before="0" w:after="0" w:line="560" w:lineRule="exact"/>
        <w:ind w:firstLine="640" w:firstLineChars="200"/>
        <w:rPr>
          <w:rFonts w:hint="eastAsia" w:ascii="黑体" w:hAnsi="黑体" w:eastAsia="黑体"/>
          <w:b w:val="0"/>
          <w:bCs w:val="0"/>
          <w:sz w:val="32"/>
          <w:szCs w:val="32"/>
        </w:rPr>
      </w:pPr>
      <w:bookmarkStart w:id="21" w:name="_Toc198553283"/>
      <w:r>
        <w:rPr>
          <w:rFonts w:hint="eastAsia" w:ascii="黑体" w:hAnsi="黑体" w:eastAsia="黑体"/>
          <w:b w:val="0"/>
          <w:bCs w:val="0"/>
          <w:sz w:val="32"/>
          <w:szCs w:val="32"/>
        </w:rPr>
        <w:t>二、绩效评价工作开展情况</w:t>
      </w:r>
      <w:bookmarkEnd w:id="21"/>
    </w:p>
    <w:p>
      <w:pPr>
        <w:widowControl/>
        <w:spacing w:after="0" w:line="560" w:lineRule="exact"/>
        <w:ind w:firstLine="640" w:firstLineChars="200"/>
        <w:outlineLvl w:val="1"/>
        <w:rPr>
          <w:rFonts w:hint="eastAsia" w:ascii="楷体_GB2312" w:hAnsi="楷体_GB2312" w:eastAsia="楷体_GB2312" w:cs="楷体_GB2312"/>
          <w:kern w:val="0"/>
          <w:sz w:val="32"/>
          <w:szCs w:val="32"/>
        </w:rPr>
      </w:pPr>
      <w:bookmarkStart w:id="22" w:name="_Toc8547"/>
      <w:bookmarkStart w:id="23" w:name="_Toc198553284"/>
      <w:r>
        <w:rPr>
          <w:rFonts w:hint="eastAsia" w:ascii="楷体_GB2312" w:hAnsi="楷体_GB2312" w:eastAsia="楷体_GB2312" w:cs="楷体_GB2312"/>
          <w:kern w:val="0"/>
          <w:sz w:val="32"/>
          <w:szCs w:val="32"/>
        </w:rPr>
        <w:t>（一）绩效评价目的、对象和范围</w:t>
      </w:r>
      <w:bookmarkEnd w:id="22"/>
      <w:bookmarkEnd w:id="23"/>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通过此次部门评价，对“互联网接入费”项目支出的经济性、效率性、效益性和公平性以及预算资金的投入、使用过程、产出和效果进行客观、公正的评价分析，发现项目决策、项目过程管理中存在问题，提高项目实施单位预算绩效管理理念。通过提高决策水平、规范项目管理、保证项目资金使用的规范性、安全性，保证项目实施的效果，从而提高财政资金的使用效益。</w:t>
      </w:r>
    </w:p>
    <w:p>
      <w:pPr>
        <w:widowControl/>
        <w:spacing w:after="0" w:line="560" w:lineRule="exact"/>
        <w:ind w:firstLine="640" w:firstLineChars="200"/>
        <w:outlineLvl w:val="1"/>
        <w:rPr>
          <w:rFonts w:hint="eastAsia" w:ascii="楷体_GB2312" w:hAnsi="楷体_GB2312" w:eastAsia="楷体_GB2312" w:cs="楷体_GB2312"/>
          <w:kern w:val="0"/>
          <w:sz w:val="32"/>
          <w:szCs w:val="32"/>
        </w:rPr>
      </w:pPr>
      <w:bookmarkStart w:id="24" w:name="_Toc198553285"/>
      <w:bookmarkStart w:id="25" w:name="_Toc5500"/>
      <w:r>
        <w:rPr>
          <w:rFonts w:hint="eastAsia" w:ascii="楷体_GB2312" w:hAnsi="楷体_GB2312" w:eastAsia="楷体_GB2312" w:cs="楷体_GB2312"/>
          <w:kern w:val="0"/>
          <w:sz w:val="32"/>
          <w:szCs w:val="32"/>
        </w:rPr>
        <w:t>（二）绩效评价原则、评价指标体系、评价方法、评价标准</w:t>
      </w:r>
      <w:bookmarkEnd w:id="24"/>
      <w:bookmarkEnd w:id="25"/>
    </w:p>
    <w:p>
      <w:pPr>
        <w:spacing w:after="0" w:line="56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rPr>
        <w:t>绩效评价原则</w:t>
      </w:r>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（1）科学公正。绩效评价应当运用科学合理的方法，按照规范的程序，对项目绩效进行客观、公正的反映。</w:t>
      </w:r>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（2）统筹兼顾。部门评价应由项目单位自主实施,即“谁支出,谁自评”。</w:t>
      </w:r>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（3）激励约束。绩效评价结果应用与预算安排、政策调整、改进管理实质性挂钩，体现奖优罚劣和激励相容导向，有效要安排、低效要减压、无效要问责。</w:t>
      </w:r>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（4）公开透明。绩效评价结果应依法依规公开，并自觉接受社会监督。</w:t>
      </w:r>
    </w:p>
    <w:p>
      <w:pPr>
        <w:spacing w:after="0" w:line="56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rPr>
        <w:t>评价指标体系</w:t>
      </w:r>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评价工作组根据《北京市项目支出绩效评价管理办法》中项目支出绩效评价指标体系框架（参考）样表，结合该项目特点，形成“互联网接入费”项目绩效评价指标体系如下：</w:t>
      </w:r>
    </w:p>
    <w:tbl>
      <w:tblPr>
        <w:tblStyle w:val="13"/>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7"/>
        <w:gridCol w:w="2730"/>
        <w:gridCol w:w="3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2097"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jc w:val="center"/>
              <w:rPr>
                <w:rFonts w:hint="eastAsia" w:ascii="仿宋_GB2312" w:hAnsi="仿宋" w:cs="仿宋"/>
                <w:b/>
                <w:bCs/>
                <w:sz w:val="24"/>
              </w:rPr>
            </w:pPr>
            <w:r>
              <w:rPr>
                <w:rFonts w:hint="eastAsia" w:ascii="仿宋_GB2312" w:hAnsi="仿宋" w:cs="仿宋"/>
                <w:b/>
                <w:bCs/>
                <w:sz w:val="24"/>
              </w:rPr>
              <w:t>一级指标</w:t>
            </w:r>
          </w:p>
        </w:tc>
        <w:tc>
          <w:tcPr>
            <w:tcW w:w="2730"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jc w:val="center"/>
              <w:rPr>
                <w:rFonts w:hint="eastAsia" w:ascii="仿宋_GB2312" w:hAnsi="仿宋" w:cs="仿宋"/>
                <w:b/>
                <w:bCs/>
                <w:sz w:val="24"/>
              </w:rPr>
            </w:pPr>
            <w:r>
              <w:rPr>
                <w:rFonts w:hint="eastAsia" w:ascii="仿宋_GB2312" w:hAnsi="仿宋" w:cs="仿宋"/>
                <w:b/>
                <w:bCs/>
                <w:sz w:val="24"/>
              </w:rPr>
              <w:t>二级指标</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jc w:val="center"/>
              <w:rPr>
                <w:rFonts w:hint="eastAsia" w:ascii="仿宋_GB2312" w:hAnsi="仿宋" w:cs="仿宋"/>
                <w:b/>
                <w:bCs/>
                <w:sz w:val="24"/>
              </w:rPr>
            </w:pPr>
            <w:r>
              <w:rPr>
                <w:rFonts w:hint="eastAsia" w:ascii="仿宋_GB2312" w:hAnsi="仿宋" w:cs="仿宋"/>
                <w:b/>
                <w:bCs/>
                <w:sz w:val="24"/>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97" w:type="dxa"/>
            <w:vMerge w:val="restart"/>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决策（20分）</w:t>
            </w:r>
          </w:p>
        </w:tc>
        <w:tc>
          <w:tcPr>
            <w:tcW w:w="2730" w:type="dxa"/>
            <w:vMerge w:val="restart"/>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项目立项（8分）</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立项依据充分性（4分）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p>
        </w:tc>
        <w:tc>
          <w:tcPr>
            <w:tcW w:w="2730"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立项程序规范性（4分）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p>
        </w:tc>
        <w:tc>
          <w:tcPr>
            <w:tcW w:w="2730" w:type="dxa"/>
            <w:vMerge w:val="restart"/>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绩效目标（8分） 　</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绩效目标合理性（4分）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p>
        </w:tc>
        <w:tc>
          <w:tcPr>
            <w:tcW w:w="2730"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绩效指标明确性（4分）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p>
        </w:tc>
        <w:tc>
          <w:tcPr>
            <w:tcW w:w="2730"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资金投入（4分）</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预算编制科学性（4分）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2097" w:type="dxa"/>
            <w:vMerge w:val="restart"/>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过程（20分）</w:t>
            </w:r>
          </w:p>
        </w:tc>
        <w:tc>
          <w:tcPr>
            <w:tcW w:w="2730" w:type="dxa"/>
            <w:vMerge w:val="restart"/>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资金管理（7分）</w:t>
            </w:r>
          </w:p>
        </w:tc>
        <w:tc>
          <w:tcPr>
            <w:tcW w:w="3786" w:type="dxa"/>
            <w:vAlign w:val="center"/>
          </w:tcPr>
          <w:p>
            <w:pPr>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预算执行率（3分）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p>
        </w:tc>
        <w:tc>
          <w:tcPr>
            <w:tcW w:w="2730"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资金使用合规性（4分）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p>
        </w:tc>
        <w:tc>
          <w:tcPr>
            <w:tcW w:w="2730" w:type="dxa"/>
            <w:vMerge w:val="restart"/>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组织实施（13分）</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管理制度健全性（3分）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p>
        </w:tc>
        <w:tc>
          <w:tcPr>
            <w:tcW w:w="2730"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制度执行有效性（10分）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97" w:type="dxa"/>
            <w:vMerge w:val="restart"/>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产出（3</w:t>
            </w:r>
            <w:r>
              <w:rPr>
                <w:rFonts w:ascii="仿宋_GB2312" w:hAnsi="仿宋" w:cs="仿宋"/>
                <w:sz w:val="24"/>
              </w:rPr>
              <w:t>0</w:t>
            </w:r>
            <w:r>
              <w:rPr>
                <w:rFonts w:hint="eastAsia" w:ascii="仿宋_GB2312" w:hAnsi="仿宋" w:cs="仿宋"/>
                <w:sz w:val="24"/>
              </w:rPr>
              <w:t>分）</w:t>
            </w:r>
          </w:p>
        </w:tc>
        <w:tc>
          <w:tcPr>
            <w:tcW w:w="2730"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产出数量（</w:t>
            </w:r>
            <w:r>
              <w:rPr>
                <w:rFonts w:ascii="仿宋_GB2312" w:hAnsi="仿宋" w:cs="仿宋"/>
                <w:sz w:val="24"/>
              </w:rPr>
              <w:t>10</w:t>
            </w:r>
            <w:r>
              <w:rPr>
                <w:rFonts w:hint="eastAsia" w:ascii="仿宋_GB2312" w:hAnsi="仿宋" w:cs="仿宋"/>
                <w:sz w:val="24"/>
              </w:rPr>
              <w:t>分）</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实际完成率（</w:t>
            </w:r>
            <w:r>
              <w:rPr>
                <w:rFonts w:ascii="仿宋_GB2312" w:hAnsi="仿宋" w:cs="仿宋"/>
                <w:sz w:val="24"/>
              </w:rPr>
              <w:t>10</w:t>
            </w:r>
            <w:r>
              <w:rPr>
                <w:rFonts w:hint="eastAsia" w:ascii="仿宋_GB2312" w:hAnsi="仿宋" w:cs="仿宋"/>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p>
        </w:tc>
        <w:tc>
          <w:tcPr>
            <w:tcW w:w="2730"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产出质量（</w:t>
            </w:r>
            <w:r>
              <w:rPr>
                <w:rFonts w:ascii="仿宋_GB2312" w:hAnsi="仿宋" w:cs="仿宋"/>
                <w:sz w:val="24"/>
              </w:rPr>
              <w:t>10</w:t>
            </w:r>
            <w:r>
              <w:rPr>
                <w:rFonts w:hint="eastAsia" w:ascii="仿宋_GB2312" w:hAnsi="仿宋" w:cs="仿宋"/>
                <w:sz w:val="24"/>
              </w:rPr>
              <w:t>分）</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质量达标率（</w:t>
            </w:r>
            <w:r>
              <w:rPr>
                <w:rFonts w:ascii="仿宋_GB2312" w:hAnsi="仿宋" w:cs="仿宋"/>
                <w:sz w:val="24"/>
              </w:rPr>
              <w:t>10</w:t>
            </w:r>
            <w:r>
              <w:rPr>
                <w:rFonts w:hint="eastAsia" w:ascii="仿宋_GB2312" w:hAnsi="仿宋" w:cs="仿宋"/>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p>
        </w:tc>
        <w:tc>
          <w:tcPr>
            <w:tcW w:w="2730"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产出时效（5分）</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完成及时性（5分）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p>
        </w:tc>
        <w:tc>
          <w:tcPr>
            <w:tcW w:w="2730"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产出成本（5分）</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成本节约率（5分）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97" w:type="dxa"/>
            <w:vMerge w:val="restart"/>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效益（3</w:t>
            </w:r>
            <w:r>
              <w:rPr>
                <w:rFonts w:ascii="仿宋_GB2312" w:hAnsi="仿宋" w:cs="仿宋"/>
                <w:sz w:val="24"/>
              </w:rPr>
              <w:t>0</w:t>
            </w:r>
            <w:r>
              <w:rPr>
                <w:rFonts w:hint="eastAsia" w:ascii="仿宋_GB2312" w:hAnsi="仿宋" w:cs="仿宋"/>
                <w:sz w:val="24"/>
              </w:rPr>
              <w:t>分）</w:t>
            </w:r>
          </w:p>
        </w:tc>
        <w:tc>
          <w:tcPr>
            <w:tcW w:w="2730" w:type="dxa"/>
            <w:vMerge w:val="restart"/>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项目效益（3</w:t>
            </w:r>
            <w:r>
              <w:rPr>
                <w:rFonts w:ascii="仿宋_GB2312" w:hAnsi="仿宋" w:cs="仿宋"/>
                <w:sz w:val="24"/>
              </w:rPr>
              <w:t>0</w:t>
            </w:r>
            <w:r>
              <w:rPr>
                <w:rFonts w:hint="eastAsia" w:ascii="仿宋_GB2312" w:hAnsi="仿宋" w:cs="仿宋"/>
                <w:sz w:val="24"/>
              </w:rPr>
              <w:t>分）</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项目效益（10分）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p>
        </w:tc>
        <w:tc>
          <w:tcPr>
            <w:tcW w:w="2730"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hint="eastAsia" w:ascii="仿宋_GB2312" w:hAnsi="仿宋" w:cs="仿宋"/>
                <w:sz w:val="24"/>
              </w:rPr>
            </w:pPr>
            <w:r>
              <w:rPr>
                <w:rFonts w:hint="eastAsia" w:ascii="仿宋_GB2312" w:hAnsi="仿宋" w:cs="仿宋"/>
                <w:sz w:val="24"/>
              </w:rPr>
              <w:t>满意度（2</w:t>
            </w:r>
            <w:r>
              <w:rPr>
                <w:rFonts w:ascii="仿宋_GB2312" w:hAnsi="仿宋" w:cs="仿宋"/>
                <w:sz w:val="24"/>
              </w:rPr>
              <w:t>0</w:t>
            </w:r>
            <w:r>
              <w:rPr>
                <w:rFonts w:hint="eastAsia" w:ascii="仿宋_GB2312" w:hAnsi="仿宋" w:cs="仿宋"/>
                <w:sz w:val="24"/>
              </w:rPr>
              <w:t>分）</w:t>
            </w:r>
          </w:p>
        </w:tc>
      </w:tr>
    </w:tbl>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“互联网接入费”项目绩效评价指标体系共设置4个一级指标，根据一级指标分解为10个二级指标、15个三级指标。根据决策和过程在项目中的重要程度，将“决策”权重设置为20分，“过程”权重设置为</w:t>
      </w: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rPr>
        <w:t>0分；为突出结果导向，“产出”权重设置为3</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分，“效益”权重设置为3</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分。</w:t>
      </w:r>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评价方法</w:t>
      </w:r>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本次评价采用成本效益分析法、比较法、因素分析法、公众评判法相结合的方法进行评价。</w:t>
      </w:r>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成本效益分析法是指将投入与产出、效益进行关联性分析的方法。</w:t>
      </w:r>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比较法是指将实施情况与绩效目标、历史情况、不同部门和地区同类支出情况进行比较的方法。</w:t>
      </w:r>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因素分析法是指综合分析影响绩效目标实现、实施效果的内外部因素的方法。</w:t>
      </w:r>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公众评判法是指通过专家评估、公众问卷及抽样调查的方式进行评判的方法。</w:t>
      </w:r>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评价标准</w:t>
      </w:r>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本次绩效评价标准包括计划标准、行业标准、历史标准等用于对绩效指标完成情况进行比较。</w:t>
      </w:r>
    </w:p>
    <w:p>
      <w:pPr>
        <w:numPr>
          <w:ilvl w:val="0"/>
          <w:numId w:val="1"/>
        </w:num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计划标准。指以预先制定的目标、计划、预算、定额作为评价标准。</w:t>
      </w:r>
    </w:p>
    <w:p>
      <w:pPr>
        <w:numPr>
          <w:ilvl w:val="0"/>
          <w:numId w:val="1"/>
        </w:num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行业标准。指参照国家公布的行业指标数据制定的评价标准。</w:t>
      </w:r>
    </w:p>
    <w:p>
      <w:pPr>
        <w:numPr>
          <w:ilvl w:val="0"/>
          <w:numId w:val="1"/>
        </w:num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历史标准。指参照历史数据制定的评价标准，为体现绩效改进的原则，在可实现的条件下应当确定相对较高的评价标准。</w:t>
      </w:r>
    </w:p>
    <w:p>
      <w:pPr>
        <w:widowControl/>
        <w:spacing w:after="0" w:line="560" w:lineRule="exact"/>
        <w:ind w:firstLine="640" w:firstLineChars="200"/>
        <w:outlineLvl w:val="1"/>
        <w:rPr>
          <w:rFonts w:hint="eastAsia" w:ascii="楷体_GB2312" w:hAnsi="楷体_GB2312" w:eastAsia="楷体_GB2312" w:cs="楷体_GB2312"/>
          <w:kern w:val="0"/>
          <w:sz w:val="32"/>
          <w:szCs w:val="32"/>
        </w:rPr>
      </w:pPr>
      <w:bookmarkStart w:id="26" w:name="_Toc19747"/>
      <w:bookmarkStart w:id="27" w:name="_Toc198553286"/>
      <w:r>
        <w:rPr>
          <w:rFonts w:hint="eastAsia" w:ascii="楷体_GB2312" w:hAnsi="楷体_GB2312" w:eastAsia="楷体_GB2312" w:cs="楷体_GB2312"/>
          <w:kern w:val="0"/>
          <w:sz w:val="32"/>
          <w:szCs w:val="32"/>
        </w:rPr>
        <w:t>（三）绩效评价工作过程</w:t>
      </w:r>
      <w:bookmarkEnd w:id="26"/>
      <w:bookmarkEnd w:id="27"/>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为确保绩效评价工作的客观公正，评价工作组严格按照绩效评价工作流程，组织该项目的绩效评价工作。本次绩效评价工作包括准备、实施、评价分析三个阶段。</w:t>
      </w:r>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1.准备阶段</w:t>
      </w:r>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2025年5月，大兴区法院委托北京正衡东亚会计师事务所有限公司对该项目进行绩效评价，组成了由大兴区法院分管项目领导、大兴区法院相关科室人员、会计师事务所人员参加的评价工作组。评价工作组围绕“互联网接入费”项目特点和绩效评价重点进行内部研讨，建立沟通协调机制，根据绩效评价要求收集相关资料，并在正式评价前对项目评价工作人员进行了相关培训。</w:t>
      </w:r>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2.实施阶段</w:t>
      </w:r>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评价工作组对所收集的资料进行查验、核对、整理分析；召开绩效评价工作沟通会，就该项目立项背景、评价对象内容、方式和方法、指标体系等与大兴区法院领导、业务人员进行沟通，根据沟通情况对该项目进行综合评价，形成初步评价结论。</w:t>
      </w:r>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3.评价分析阶段</w:t>
      </w:r>
    </w:p>
    <w:p>
      <w:pPr>
        <w:spacing w:after="0"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评价工作组根据收集到的项目相关资料及收集的意见、建议，对项目决策、管理、产出、效益等内容进行综合分析，按照规定的文本格式和内容撰写绩效评价报告，并提交大兴区法院征求意见。评价工作组在大兴区法院相关科室反馈意见的基础上，对评价报告进行修改和完善，形成正式绩效评价报告。</w:t>
      </w:r>
    </w:p>
    <w:p>
      <w:pPr>
        <w:spacing w:after="0" w:line="560" w:lineRule="exact"/>
        <w:ind w:firstLine="658"/>
        <w:outlineLvl w:val="0"/>
        <w:rPr>
          <w:rFonts w:hint="eastAsia" w:ascii="黑体" w:hAnsi="黑体" w:eastAsia="黑体"/>
          <w:sz w:val="32"/>
          <w:szCs w:val="21"/>
        </w:rPr>
      </w:pPr>
      <w:bookmarkStart w:id="28" w:name="_Toc198553287"/>
      <w:bookmarkStart w:id="29" w:name="_Toc72955455"/>
      <w:r>
        <w:rPr>
          <w:rFonts w:hint="eastAsia" w:ascii="黑体" w:hAnsi="黑体" w:eastAsia="黑体"/>
          <w:sz w:val="32"/>
          <w:szCs w:val="21"/>
        </w:rPr>
        <w:t>三</w:t>
      </w:r>
      <w:r>
        <w:rPr>
          <w:rFonts w:ascii="黑体" w:hAnsi="黑体" w:eastAsia="黑体"/>
          <w:sz w:val="32"/>
          <w:szCs w:val="21"/>
        </w:rPr>
        <w:t>、</w:t>
      </w:r>
      <w:r>
        <w:rPr>
          <w:rFonts w:hint="eastAsia" w:ascii="黑体" w:hAnsi="黑体" w:eastAsia="黑体"/>
          <w:sz w:val="32"/>
          <w:szCs w:val="21"/>
        </w:rPr>
        <w:t>综合评价情况及评价</w:t>
      </w:r>
      <w:r>
        <w:rPr>
          <w:rFonts w:ascii="黑体" w:hAnsi="黑体" w:eastAsia="黑体"/>
          <w:sz w:val="32"/>
          <w:szCs w:val="21"/>
        </w:rPr>
        <w:t>结论</w:t>
      </w:r>
      <w:bookmarkEnd w:id="28"/>
      <w:bookmarkEnd w:id="29"/>
    </w:p>
    <w:p>
      <w:pPr>
        <w:spacing w:after="0" w:line="560" w:lineRule="exact"/>
        <w:ind w:firstLine="648"/>
        <w:rPr>
          <w:rFonts w:hint="eastAsia" w:ascii="仿宋_GB2312" w:hAnsi="仿宋_GB2312" w:eastAsia="仿宋_GB2312" w:cs="仿宋_GB2312"/>
          <w:sz w:val="32"/>
          <w:szCs w:val="21"/>
        </w:rPr>
      </w:pPr>
      <w:r>
        <w:rPr>
          <w:rFonts w:ascii="仿宋_GB2312" w:hAnsi="仿宋_GB2312" w:eastAsia="仿宋_GB2312" w:cs="仿宋_GB2312"/>
          <w:sz w:val="32"/>
          <w:szCs w:val="21"/>
        </w:rPr>
        <w:t>评价工作组</w:t>
      </w:r>
      <w:r>
        <w:rPr>
          <w:rFonts w:hint="eastAsia" w:ascii="仿宋_GB2312" w:hAnsi="仿宋_GB2312" w:eastAsia="仿宋_GB2312" w:cs="仿宋_GB2312"/>
          <w:sz w:val="32"/>
          <w:szCs w:val="21"/>
        </w:rPr>
        <w:t>根据制定的该</w:t>
      </w:r>
      <w:r>
        <w:rPr>
          <w:rFonts w:ascii="仿宋_GB2312" w:hAnsi="仿宋_GB2312" w:eastAsia="仿宋_GB2312" w:cs="仿宋_GB2312"/>
          <w:sz w:val="32"/>
          <w:szCs w:val="21"/>
        </w:rPr>
        <w:t>项目绩效评价指标体系</w:t>
      </w:r>
      <w:r>
        <w:rPr>
          <w:rFonts w:hint="eastAsia" w:ascii="仿宋_GB2312" w:hAnsi="仿宋_GB2312" w:eastAsia="仿宋_GB2312" w:cs="仿宋_GB2312"/>
          <w:sz w:val="32"/>
          <w:szCs w:val="21"/>
        </w:rPr>
        <w:t>，逐项进行打分，项目决策、项目过程、项目产出、项目效益等4个方面的得分如下：</w:t>
      </w:r>
    </w:p>
    <w:p>
      <w:pPr>
        <w:spacing w:after="0" w:line="560" w:lineRule="exact"/>
        <w:ind w:firstLine="648"/>
        <w:rPr>
          <w:rFonts w:hint="eastAsia" w:ascii="仿宋_GB2312" w:hAnsi="仿宋_GB2312" w:eastAsia="仿宋_GB2312" w:cs="仿宋_GB2312"/>
          <w:sz w:val="32"/>
          <w:szCs w:val="21"/>
          <w:highlight w:val="none"/>
        </w:rPr>
      </w:pPr>
      <w:r>
        <w:rPr>
          <w:rFonts w:ascii="仿宋_GB2312" w:hAnsi="仿宋_GB2312" w:eastAsia="仿宋_GB2312" w:cs="仿宋_GB2312"/>
          <w:sz w:val="32"/>
          <w:szCs w:val="21"/>
          <w:highlight w:val="none"/>
        </w:rPr>
        <w:t>项目决策方面</w:t>
      </w:r>
      <w:r>
        <w:rPr>
          <w:rFonts w:hint="eastAsia" w:ascii="仿宋_GB2312" w:hAnsi="仿宋_GB2312" w:eastAsia="仿宋_GB2312" w:cs="仿宋_GB2312"/>
          <w:sz w:val="32"/>
          <w:szCs w:val="21"/>
          <w:highlight w:val="none"/>
        </w:rPr>
        <w:t>，</w:t>
      </w:r>
      <w:r>
        <w:rPr>
          <w:rFonts w:ascii="仿宋_GB2312" w:hAnsi="仿宋_GB2312" w:eastAsia="仿宋_GB2312" w:cs="仿宋_GB2312"/>
          <w:sz w:val="32"/>
          <w:szCs w:val="21"/>
          <w:highlight w:val="none"/>
        </w:rPr>
        <w:t>该指标分值</w:t>
      </w:r>
      <w:r>
        <w:rPr>
          <w:rFonts w:hint="eastAsia" w:ascii="仿宋_GB2312" w:hAnsi="仿宋_GB2312" w:eastAsia="仿宋_GB2312" w:cs="仿宋_GB2312"/>
          <w:sz w:val="32"/>
          <w:szCs w:val="21"/>
          <w:highlight w:val="none"/>
        </w:rPr>
        <w:t>20</w:t>
      </w:r>
      <w:r>
        <w:rPr>
          <w:rFonts w:ascii="仿宋_GB2312" w:hAnsi="仿宋_GB2312" w:eastAsia="仿宋_GB2312" w:cs="仿宋_GB2312"/>
          <w:sz w:val="32"/>
          <w:szCs w:val="21"/>
          <w:highlight w:val="none"/>
        </w:rPr>
        <w:t>分，评价得分</w:t>
      </w:r>
      <w:r>
        <w:rPr>
          <w:rFonts w:hint="eastAsia" w:ascii="仿宋_GB2312" w:hAnsi="仿宋_GB2312" w:eastAsia="仿宋_GB2312" w:cs="仿宋_GB2312"/>
          <w:sz w:val="32"/>
          <w:szCs w:val="21"/>
          <w:highlight w:val="none"/>
        </w:rPr>
        <w:t>18</w:t>
      </w:r>
      <w:r>
        <w:rPr>
          <w:rFonts w:ascii="仿宋_GB2312" w:hAnsi="仿宋_GB2312" w:eastAsia="仿宋_GB2312" w:cs="仿宋_GB2312"/>
          <w:sz w:val="32"/>
          <w:szCs w:val="21"/>
          <w:highlight w:val="none"/>
        </w:rPr>
        <w:t>分。</w:t>
      </w:r>
    </w:p>
    <w:p>
      <w:pPr>
        <w:spacing w:after="0" w:line="560" w:lineRule="exact"/>
        <w:ind w:firstLine="648"/>
        <w:rPr>
          <w:rFonts w:hint="eastAsia" w:ascii="仿宋_GB2312" w:hAnsi="仿宋_GB2312" w:eastAsia="仿宋_GB2312" w:cs="仿宋_GB2312"/>
          <w:sz w:val="32"/>
          <w:szCs w:val="21"/>
          <w:highlight w:val="none"/>
        </w:rPr>
      </w:pPr>
      <w:r>
        <w:rPr>
          <w:rFonts w:ascii="仿宋_GB2312" w:hAnsi="仿宋_GB2312" w:eastAsia="仿宋_GB2312" w:cs="仿宋_GB2312"/>
          <w:sz w:val="32"/>
          <w:szCs w:val="21"/>
          <w:highlight w:val="none"/>
        </w:rPr>
        <w:t>项目</w:t>
      </w:r>
      <w:r>
        <w:rPr>
          <w:rFonts w:hint="eastAsia" w:ascii="仿宋_GB2312" w:hAnsi="仿宋_GB2312" w:eastAsia="仿宋_GB2312" w:cs="仿宋_GB2312"/>
          <w:sz w:val="32"/>
          <w:szCs w:val="21"/>
          <w:highlight w:val="none"/>
        </w:rPr>
        <w:t>过程</w:t>
      </w:r>
      <w:r>
        <w:rPr>
          <w:rFonts w:ascii="仿宋_GB2312" w:hAnsi="仿宋_GB2312" w:eastAsia="仿宋_GB2312" w:cs="仿宋_GB2312"/>
          <w:sz w:val="32"/>
          <w:szCs w:val="21"/>
          <w:highlight w:val="none"/>
        </w:rPr>
        <w:t>方面</w:t>
      </w:r>
      <w:r>
        <w:rPr>
          <w:rFonts w:hint="eastAsia" w:ascii="仿宋_GB2312" w:hAnsi="仿宋_GB2312" w:eastAsia="仿宋_GB2312" w:cs="仿宋_GB2312"/>
          <w:sz w:val="32"/>
          <w:szCs w:val="21"/>
          <w:highlight w:val="none"/>
        </w:rPr>
        <w:t>，</w:t>
      </w:r>
      <w:r>
        <w:rPr>
          <w:rFonts w:ascii="仿宋_GB2312" w:hAnsi="仿宋_GB2312" w:eastAsia="仿宋_GB2312" w:cs="仿宋_GB2312"/>
          <w:sz w:val="32"/>
          <w:szCs w:val="21"/>
          <w:highlight w:val="none"/>
        </w:rPr>
        <w:t>该指标分值</w:t>
      </w:r>
      <w:r>
        <w:rPr>
          <w:rFonts w:hint="eastAsia" w:ascii="仿宋_GB2312" w:hAnsi="仿宋_GB2312" w:eastAsia="仿宋_GB2312" w:cs="仿宋_GB2312"/>
          <w:sz w:val="32"/>
          <w:szCs w:val="21"/>
          <w:highlight w:val="none"/>
        </w:rPr>
        <w:t>2</w:t>
      </w:r>
      <w:r>
        <w:rPr>
          <w:rFonts w:ascii="仿宋_GB2312" w:hAnsi="仿宋_GB2312" w:eastAsia="仿宋_GB2312" w:cs="仿宋_GB2312"/>
          <w:sz w:val="32"/>
          <w:szCs w:val="21"/>
          <w:highlight w:val="none"/>
        </w:rPr>
        <w:t>0分，评价得分</w:t>
      </w:r>
      <w:r>
        <w:rPr>
          <w:rFonts w:hint="eastAsia" w:ascii="仿宋_GB2312" w:hAnsi="仿宋_GB2312" w:eastAsia="仿宋_GB2312" w:cs="仿宋_GB2312"/>
          <w:sz w:val="32"/>
          <w:szCs w:val="21"/>
          <w:highlight w:val="none"/>
        </w:rPr>
        <w:t>19</w:t>
      </w:r>
      <w:r>
        <w:rPr>
          <w:rFonts w:ascii="仿宋_GB2312" w:hAnsi="仿宋_GB2312" w:eastAsia="仿宋_GB2312" w:cs="仿宋_GB2312"/>
          <w:sz w:val="32"/>
          <w:szCs w:val="21"/>
          <w:highlight w:val="none"/>
        </w:rPr>
        <w:t>分。</w:t>
      </w:r>
    </w:p>
    <w:p>
      <w:pPr>
        <w:spacing w:after="0" w:line="560" w:lineRule="exact"/>
        <w:ind w:firstLine="648"/>
        <w:rPr>
          <w:rFonts w:hint="eastAsia" w:ascii="仿宋_GB2312" w:hAnsi="仿宋_GB2312" w:eastAsia="仿宋_GB2312" w:cs="仿宋_GB2312"/>
          <w:sz w:val="32"/>
          <w:szCs w:val="21"/>
          <w:highlight w:val="none"/>
        </w:rPr>
      </w:pPr>
      <w:r>
        <w:rPr>
          <w:rFonts w:ascii="仿宋_GB2312" w:hAnsi="仿宋_GB2312" w:eastAsia="仿宋_GB2312" w:cs="仿宋_GB2312"/>
          <w:sz w:val="32"/>
          <w:szCs w:val="21"/>
          <w:highlight w:val="none"/>
        </w:rPr>
        <w:t>项目</w:t>
      </w:r>
      <w:r>
        <w:rPr>
          <w:rFonts w:hint="eastAsia" w:ascii="仿宋_GB2312" w:hAnsi="仿宋_GB2312" w:eastAsia="仿宋_GB2312" w:cs="仿宋_GB2312"/>
          <w:sz w:val="32"/>
          <w:szCs w:val="21"/>
          <w:highlight w:val="none"/>
        </w:rPr>
        <w:t>产出</w:t>
      </w:r>
      <w:r>
        <w:rPr>
          <w:rFonts w:ascii="仿宋_GB2312" w:hAnsi="仿宋_GB2312" w:eastAsia="仿宋_GB2312" w:cs="仿宋_GB2312"/>
          <w:sz w:val="32"/>
          <w:szCs w:val="21"/>
          <w:highlight w:val="none"/>
        </w:rPr>
        <w:t>方面</w:t>
      </w:r>
      <w:r>
        <w:rPr>
          <w:rFonts w:hint="eastAsia" w:ascii="仿宋_GB2312" w:hAnsi="仿宋_GB2312" w:eastAsia="仿宋_GB2312" w:cs="仿宋_GB2312"/>
          <w:sz w:val="32"/>
          <w:szCs w:val="21"/>
          <w:highlight w:val="none"/>
        </w:rPr>
        <w:t>，</w:t>
      </w:r>
      <w:r>
        <w:rPr>
          <w:rFonts w:ascii="仿宋_GB2312" w:hAnsi="仿宋_GB2312" w:eastAsia="仿宋_GB2312" w:cs="仿宋_GB2312"/>
          <w:sz w:val="32"/>
          <w:szCs w:val="21"/>
          <w:highlight w:val="none"/>
        </w:rPr>
        <w:t>该指标分值</w:t>
      </w:r>
      <w:r>
        <w:rPr>
          <w:rFonts w:hint="eastAsia" w:ascii="仿宋_GB2312" w:hAnsi="仿宋_GB2312" w:eastAsia="仿宋_GB2312" w:cs="仿宋_GB2312"/>
          <w:sz w:val="32"/>
          <w:szCs w:val="21"/>
          <w:highlight w:val="none"/>
        </w:rPr>
        <w:t>30</w:t>
      </w:r>
      <w:r>
        <w:rPr>
          <w:rFonts w:ascii="仿宋_GB2312" w:hAnsi="仿宋_GB2312" w:eastAsia="仿宋_GB2312" w:cs="仿宋_GB2312"/>
          <w:sz w:val="32"/>
          <w:szCs w:val="21"/>
          <w:highlight w:val="none"/>
        </w:rPr>
        <w:t>分，评价得分</w:t>
      </w:r>
      <w:r>
        <w:rPr>
          <w:rFonts w:hint="eastAsia" w:ascii="仿宋_GB2312" w:hAnsi="仿宋_GB2312" w:eastAsia="仿宋_GB2312" w:cs="仿宋_GB2312"/>
          <w:sz w:val="32"/>
          <w:szCs w:val="21"/>
          <w:highlight w:val="none"/>
        </w:rPr>
        <w:t>30</w:t>
      </w:r>
      <w:r>
        <w:rPr>
          <w:rFonts w:ascii="仿宋_GB2312" w:hAnsi="仿宋_GB2312" w:eastAsia="仿宋_GB2312" w:cs="仿宋_GB2312"/>
          <w:sz w:val="32"/>
          <w:szCs w:val="21"/>
          <w:highlight w:val="none"/>
        </w:rPr>
        <w:t>分。</w:t>
      </w:r>
    </w:p>
    <w:p>
      <w:pPr>
        <w:spacing w:after="0" w:line="560" w:lineRule="exact"/>
        <w:ind w:firstLine="640"/>
        <w:rPr>
          <w:rFonts w:hint="eastAsia" w:ascii="仿宋_GB2312" w:hAnsi="仿宋_GB2312" w:eastAsia="仿宋_GB2312" w:cs="仿宋_GB2312"/>
          <w:sz w:val="32"/>
          <w:szCs w:val="21"/>
          <w:highlight w:val="none"/>
        </w:rPr>
      </w:pPr>
      <w:r>
        <w:rPr>
          <w:rFonts w:ascii="仿宋_GB2312" w:hAnsi="仿宋_GB2312" w:eastAsia="仿宋_GB2312" w:cs="仿宋_GB2312"/>
          <w:sz w:val="32"/>
          <w:szCs w:val="21"/>
          <w:highlight w:val="none"/>
        </w:rPr>
        <w:t>项目</w:t>
      </w:r>
      <w:r>
        <w:rPr>
          <w:rFonts w:hint="eastAsia" w:ascii="仿宋_GB2312" w:hAnsi="仿宋_GB2312" w:eastAsia="仿宋_GB2312" w:cs="仿宋_GB2312"/>
          <w:sz w:val="32"/>
          <w:szCs w:val="21"/>
          <w:highlight w:val="none"/>
        </w:rPr>
        <w:t>效益</w:t>
      </w:r>
      <w:r>
        <w:rPr>
          <w:rFonts w:ascii="仿宋_GB2312" w:hAnsi="仿宋_GB2312" w:eastAsia="仿宋_GB2312" w:cs="仿宋_GB2312"/>
          <w:sz w:val="32"/>
          <w:szCs w:val="21"/>
          <w:highlight w:val="none"/>
        </w:rPr>
        <w:t>方面</w:t>
      </w:r>
      <w:r>
        <w:rPr>
          <w:rFonts w:hint="eastAsia" w:ascii="仿宋_GB2312" w:hAnsi="仿宋_GB2312" w:eastAsia="仿宋_GB2312" w:cs="仿宋_GB2312"/>
          <w:sz w:val="32"/>
          <w:szCs w:val="21"/>
          <w:highlight w:val="none"/>
        </w:rPr>
        <w:t>，</w:t>
      </w:r>
      <w:r>
        <w:rPr>
          <w:rFonts w:ascii="仿宋_GB2312" w:hAnsi="仿宋_GB2312" w:eastAsia="仿宋_GB2312" w:cs="仿宋_GB2312"/>
          <w:sz w:val="32"/>
          <w:szCs w:val="21"/>
          <w:highlight w:val="none"/>
        </w:rPr>
        <w:t>该指标分值</w:t>
      </w:r>
      <w:r>
        <w:rPr>
          <w:rFonts w:hint="eastAsia" w:ascii="仿宋_GB2312" w:hAnsi="仿宋_GB2312" w:eastAsia="仿宋_GB2312" w:cs="仿宋_GB2312"/>
          <w:sz w:val="32"/>
          <w:szCs w:val="21"/>
          <w:highlight w:val="none"/>
        </w:rPr>
        <w:t>30</w:t>
      </w:r>
      <w:r>
        <w:rPr>
          <w:rFonts w:ascii="仿宋_GB2312" w:hAnsi="仿宋_GB2312" w:eastAsia="仿宋_GB2312" w:cs="仿宋_GB2312"/>
          <w:sz w:val="32"/>
          <w:szCs w:val="21"/>
          <w:highlight w:val="none"/>
        </w:rPr>
        <w:t>分，评价得分</w:t>
      </w:r>
      <w:r>
        <w:rPr>
          <w:rFonts w:hint="eastAsia" w:ascii="仿宋_GB2312" w:hAnsi="仿宋_GB2312" w:eastAsia="仿宋_GB2312" w:cs="仿宋_GB2312"/>
          <w:sz w:val="32"/>
          <w:szCs w:val="21"/>
          <w:highlight w:val="none"/>
        </w:rPr>
        <w:t>26</w:t>
      </w:r>
      <w:r>
        <w:rPr>
          <w:rFonts w:ascii="仿宋_GB2312" w:hAnsi="仿宋_GB2312" w:eastAsia="仿宋_GB2312" w:cs="仿宋_GB2312"/>
          <w:sz w:val="32"/>
          <w:szCs w:val="21"/>
          <w:highlight w:val="none"/>
        </w:rPr>
        <w:t>分。</w:t>
      </w:r>
    </w:p>
    <w:p>
      <w:pPr>
        <w:spacing w:after="0" w:line="560" w:lineRule="exact"/>
        <w:ind w:firstLine="640"/>
        <w:rPr>
          <w:rFonts w:hint="eastAsia" w:ascii="仿宋_GB2312" w:hAnsi="仿宋_GB2312" w:eastAsia="仿宋_GB2312" w:cs="仿宋_GB2312"/>
          <w:sz w:val="32"/>
          <w:szCs w:val="21"/>
          <w:highlight w:val="none"/>
        </w:rPr>
      </w:pPr>
      <w:r>
        <w:rPr>
          <w:rFonts w:ascii="仿宋_GB2312" w:hAnsi="仿宋_GB2312" w:eastAsia="仿宋_GB2312" w:cs="仿宋_GB2312"/>
          <w:sz w:val="32"/>
          <w:szCs w:val="21"/>
          <w:highlight w:val="none"/>
        </w:rPr>
        <w:t>通过评价，该项目综合得分9</w:t>
      </w:r>
      <w:r>
        <w:rPr>
          <w:rFonts w:hint="eastAsia" w:ascii="仿宋_GB2312" w:hAnsi="仿宋_GB2312" w:eastAsia="仿宋_GB2312" w:cs="仿宋_GB2312"/>
          <w:sz w:val="32"/>
          <w:szCs w:val="21"/>
          <w:highlight w:val="none"/>
        </w:rPr>
        <w:t>3</w:t>
      </w:r>
      <w:r>
        <w:rPr>
          <w:rFonts w:ascii="仿宋_GB2312" w:hAnsi="仿宋_GB2312" w:eastAsia="仿宋_GB2312" w:cs="仿宋_GB2312"/>
          <w:sz w:val="32"/>
          <w:szCs w:val="21"/>
          <w:highlight w:val="none"/>
        </w:rPr>
        <w:t>分，项目绩效级别评价结论为“</w:t>
      </w:r>
      <w:r>
        <w:rPr>
          <w:rFonts w:hint="eastAsia" w:ascii="仿宋_GB2312" w:hAnsi="仿宋_GB2312" w:eastAsia="仿宋_GB2312" w:cs="仿宋_GB2312"/>
          <w:sz w:val="32"/>
          <w:szCs w:val="21"/>
          <w:highlight w:val="none"/>
        </w:rPr>
        <w:t>优</w:t>
      </w:r>
      <w:r>
        <w:rPr>
          <w:rFonts w:ascii="仿宋_GB2312" w:hAnsi="仿宋_GB2312" w:eastAsia="仿宋_GB2312" w:cs="仿宋_GB2312"/>
          <w:sz w:val="32"/>
          <w:szCs w:val="21"/>
          <w:highlight w:val="none"/>
        </w:rPr>
        <w:t>”</w:t>
      </w:r>
      <w:r>
        <w:rPr>
          <w:rFonts w:hint="eastAsia" w:ascii="仿宋_GB2312" w:hAnsi="仿宋_GB2312" w:eastAsia="仿宋_GB2312" w:cs="仿宋_GB2312"/>
          <w:sz w:val="32"/>
          <w:szCs w:val="21"/>
          <w:highlight w:val="none"/>
        </w:rPr>
        <w:t>。</w:t>
      </w:r>
    </w:p>
    <w:p>
      <w:pPr>
        <w:spacing w:after="0" w:line="560" w:lineRule="exact"/>
        <w:ind w:firstLine="640"/>
        <w:rPr>
          <w:rFonts w:hint="eastAsia" w:ascii="仿宋_GB2312" w:hAnsi="仿宋_GB2312" w:eastAsia="仿宋_GB2312" w:cs="仿宋_GB2312"/>
          <w:sz w:val="32"/>
          <w:szCs w:val="21"/>
        </w:rPr>
      </w:pPr>
      <w:r>
        <w:rPr>
          <w:rFonts w:hint="eastAsia" w:ascii="仿宋_GB2312" w:hAnsi="仿宋_GB2312" w:eastAsia="仿宋_GB2312" w:cs="仿宋_GB2312"/>
          <w:sz w:val="32"/>
          <w:szCs w:val="21"/>
        </w:rPr>
        <w:t>项目</w:t>
      </w:r>
      <w:r>
        <w:rPr>
          <w:rFonts w:ascii="仿宋_GB2312" w:hAnsi="仿宋_GB2312" w:eastAsia="仿宋_GB2312" w:cs="仿宋_GB2312"/>
          <w:sz w:val="32"/>
          <w:szCs w:val="21"/>
        </w:rPr>
        <w:t>绩效评价具体</w:t>
      </w:r>
      <w:r>
        <w:rPr>
          <w:rFonts w:hint="eastAsia" w:ascii="仿宋_GB2312" w:hAnsi="仿宋_GB2312" w:eastAsia="仿宋_GB2312" w:cs="仿宋_GB2312"/>
          <w:sz w:val="32"/>
          <w:szCs w:val="21"/>
        </w:rPr>
        <w:t>得</w:t>
      </w:r>
      <w:r>
        <w:rPr>
          <w:rFonts w:ascii="仿宋_GB2312" w:hAnsi="仿宋_GB2312" w:eastAsia="仿宋_GB2312" w:cs="仿宋_GB2312"/>
          <w:sz w:val="32"/>
          <w:szCs w:val="21"/>
        </w:rPr>
        <w:t>分情况见附件。</w:t>
      </w:r>
    </w:p>
    <w:p>
      <w:pPr>
        <w:pStyle w:val="2"/>
        <w:tabs>
          <w:tab w:val="left" w:pos="588"/>
        </w:tabs>
        <w:spacing w:before="0" w:after="0" w:line="560" w:lineRule="exact"/>
        <w:ind w:firstLine="640" w:firstLineChars="200"/>
        <w:rPr>
          <w:rFonts w:hint="eastAsia" w:ascii="黑体" w:hAnsi="黑体" w:eastAsia="黑体"/>
          <w:b w:val="0"/>
          <w:bCs w:val="0"/>
          <w:sz w:val="32"/>
          <w:szCs w:val="32"/>
        </w:rPr>
      </w:pPr>
      <w:bookmarkStart w:id="30" w:name="_Toc198553288"/>
      <w:bookmarkStart w:id="31" w:name="_Toc428524870"/>
      <w:bookmarkStart w:id="32" w:name="_Toc485728078"/>
      <w:bookmarkStart w:id="33" w:name="_Toc428414992"/>
      <w:bookmarkStart w:id="34" w:name="_Toc425537584"/>
      <w:bookmarkStart w:id="35" w:name="_Toc5062"/>
      <w:bookmarkStart w:id="36" w:name="_Toc428415217"/>
      <w:r>
        <w:rPr>
          <w:rFonts w:hint="eastAsia" w:ascii="黑体" w:hAnsi="黑体" w:eastAsia="黑体"/>
          <w:b w:val="0"/>
          <w:bCs w:val="0"/>
          <w:sz w:val="32"/>
          <w:szCs w:val="32"/>
        </w:rPr>
        <w:t>四、绩效评价指标分析</w:t>
      </w:r>
      <w:bookmarkEnd w:id="30"/>
    </w:p>
    <w:p>
      <w:pPr>
        <w:widowControl/>
        <w:spacing w:after="0" w:line="560" w:lineRule="exact"/>
        <w:ind w:firstLine="640" w:firstLineChars="200"/>
        <w:outlineLvl w:val="1"/>
        <w:rPr>
          <w:rFonts w:ascii="楷体_GB2312" w:hAnsi="Arial" w:eastAsia="楷体_GB2312" w:cs="Arial"/>
          <w:bCs/>
          <w:sz w:val="32"/>
          <w:szCs w:val="32"/>
        </w:rPr>
      </w:pPr>
      <w:bookmarkStart w:id="37" w:name="_Toc198553289"/>
      <w:r>
        <w:rPr>
          <w:rFonts w:hint="eastAsia" w:ascii="楷体_GB2312" w:hAnsi="Arial" w:eastAsia="楷体_GB2312" w:cs="Arial"/>
          <w:bCs/>
          <w:sz w:val="32"/>
          <w:szCs w:val="32"/>
        </w:rPr>
        <w:t>（一）项目决策情况</w:t>
      </w:r>
      <w:bookmarkEnd w:id="37"/>
    </w:p>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1.立项依据充分性</w:t>
      </w:r>
    </w:p>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该项目立项依据充分，符合国家法律法规、发展规划，属于大兴区法院部门履职所需，属于公共财政支持范围，与大兴区法院部门职责范围相符。</w:t>
      </w:r>
    </w:p>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2.立项程序规范性</w:t>
      </w:r>
    </w:p>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该项目按照规定的程序申请设立，项目申报资料符合相关要求，政府购买服务的内容、服务标准和技术保障明确，作为延续性项目，且为单位履职所需的必需项目，该项目在年初立项前未开展可行性研究、专家论证、风险评估、绩效评估等。</w:t>
      </w:r>
    </w:p>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3.绩效目标合理性、指标明确性</w:t>
      </w:r>
    </w:p>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该项目总体目标设立依据充分，符合该项目客观实际，工作目标结果导向比较清晰，绩效目标及指标值与政府购买服务所申报的预算资金量相匹配。该项目设定的数量指标、成本指标清晰、细化、可衡量，具有较强的可操作性和可实现性</w:t>
      </w:r>
      <w:bookmarkStart w:id="38" w:name="_Hlk135932066"/>
      <w:r>
        <w:rPr>
          <w:rFonts w:hint="eastAsia" w:ascii="仿宋_GB2312" w:hAnsi="仿宋" w:eastAsia="仿宋_GB2312"/>
          <w:sz w:val="32"/>
          <w:szCs w:val="32"/>
        </w:rPr>
        <w:t>，但该项目未设置时效指标和满意度指标。</w:t>
      </w:r>
      <w:bookmarkEnd w:id="38"/>
    </w:p>
    <w:p>
      <w:pPr>
        <w:spacing w:after="0"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4.预算编制科学性</w:t>
      </w:r>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rPr>
        <w:t>该项目预算内容与项目内容相匹配，预算确定的项目资金量与大兴区法院工作任务相匹配，</w:t>
      </w:r>
      <w:r>
        <w:rPr>
          <w:rFonts w:hint="eastAsia" w:ascii="仿宋_GB2312" w:hAnsi="仿宋" w:eastAsia="仿宋_GB2312"/>
          <w:sz w:val="32"/>
          <w:szCs w:val="32"/>
          <w:highlight w:val="none"/>
        </w:rPr>
        <w:t>但预算金额的成本定额测算依据不够充分。</w:t>
      </w:r>
    </w:p>
    <w:p>
      <w:pPr>
        <w:widowControl/>
        <w:spacing w:after="0" w:line="560" w:lineRule="exact"/>
        <w:ind w:firstLine="640" w:firstLineChars="200"/>
        <w:outlineLvl w:val="1"/>
        <w:rPr>
          <w:rFonts w:ascii="楷体_GB2312" w:hAnsi="Arial" w:eastAsia="楷体_GB2312" w:cs="Arial"/>
          <w:bCs/>
          <w:sz w:val="32"/>
          <w:szCs w:val="32"/>
          <w:highlight w:val="none"/>
        </w:rPr>
      </w:pPr>
      <w:bookmarkStart w:id="39" w:name="_Toc198553290"/>
      <w:r>
        <w:rPr>
          <w:rFonts w:hint="eastAsia" w:ascii="楷体_GB2312" w:hAnsi="Arial" w:eastAsia="楷体_GB2312" w:cs="Arial"/>
          <w:bCs/>
          <w:sz w:val="32"/>
          <w:szCs w:val="32"/>
          <w:highlight w:val="none"/>
        </w:rPr>
        <w:t>（二）项目过程情况</w:t>
      </w:r>
      <w:bookmarkEnd w:id="39"/>
    </w:p>
    <w:p>
      <w:pPr>
        <w:spacing w:after="0" w:line="560" w:lineRule="exact"/>
        <w:ind w:firstLine="420" w:firstLineChars="200"/>
        <w:rPr>
          <w:rFonts w:hint="eastAsia" w:ascii="仿宋_GB2312" w:hAnsi="仿宋" w:eastAsia="仿宋_GB2312"/>
          <w:sz w:val="32"/>
          <w:szCs w:val="32"/>
          <w:highlight w:val="none"/>
        </w:rPr>
      </w:pPr>
      <w:r>
        <w:rPr>
          <w:rFonts w:hint="eastAsia"/>
          <w:highlight w:val="none"/>
        </w:rPr>
        <w:t xml:space="preserve"> </w:t>
      </w:r>
      <w:r>
        <w:rPr>
          <w:rFonts w:hint="eastAsia" w:ascii="仿宋_GB2312" w:hAnsi="宋体" w:eastAsia="仿宋_GB2312" w:cs="宋体"/>
          <w:kern w:val="0"/>
          <w:sz w:val="32"/>
          <w:szCs w:val="32"/>
          <w:highlight w:val="none"/>
        </w:rPr>
        <w:t xml:space="preserve"> </w:t>
      </w:r>
      <w:r>
        <w:rPr>
          <w:rFonts w:hint="eastAsia" w:ascii="仿宋_GB2312" w:hAnsi="仿宋" w:eastAsia="仿宋_GB2312"/>
          <w:sz w:val="32"/>
          <w:szCs w:val="32"/>
          <w:highlight w:val="none"/>
        </w:rPr>
        <w:t>1.预算执行率</w:t>
      </w:r>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该项目实际支出资金69.00万元，财政资金实际到位69.00万元，资金到位率100.00%。</w:t>
      </w:r>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资金到位率=（实际支出资金/实际到位资金）×100%。</w:t>
      </w:r>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2.资金使用合规性</w:t>
      </w:r>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大兴区法院按照《财政部办公厅关于进一步提高政府采购透明度和采购效率相关事项的通知》</w:t>
      </w:r>
      <w:bookmarkStart w:id="48" w:name="_GoBack"/>
      <w:bookmarkEnd w:id="48"/>
      <w:r>
        <w:rPr>
          <w:rFonts w:hint="eastAsia" w:ascii="仿宋_GB2312" w:hAnsi="仿宋" w:eastAsia="仿宋_GB2312"/>
          <w:sz w:val="32"/>
          <w:szCs w:val="32"/>
          <w:highlight w:val="none"/>
        </w:rPr>
        <w:t>、《北京市大兴区人民法院财务管理制度》和合同约定支付该项目服务费，资金拨付有完整的程序和手续，拨付的时间节点及金额符合合同约定的时间及工作进度，项目资金用途符合项目预算批复及合同规定的用途，未发现截留、挤占、挪用、虚列支出等情况。</w:t>
      </w:r>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3.管理制度健全性</w:t>
      </w:r>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大兴区法院建立了《北京市大兴区人民法院内部控制手册》，制定了《北京市大兴区人民法院财务管理制度》《北京市大兴区人民法院内部审计管理办法（试行）》《北京市大兴区人民法院合同管理办法》《政府采购管理办法》等多项管理制度，但对所购买服务未制定质量监控制度和验收办法。</w:t>
      </w:r>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4.制度执行有效性</w:t>
      </w:r>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该项目政府采购程序合法合规，大兴区法院能够按照《北京市大兴区人民法院财务管理制度》《北京市大兴区人民法院合同管理办法》《政府采购管理办法》等相关规范性文件组织实施该项目。大兴区法院与中国联合网络通信有限公司北京市分公司签订的《北京市电子政务互联网接入服务合同》明确了服务内容、期限、数量、质量、价格、资金结算方式、各方权利义务和违约责任等内容。该项目2024年1月-12月的《专线巡检记录表》及四个季度的《巡检报告》齐全，但未见大兴区法院每季度对项目进行验收考核等质量监督记录。</w:t>
      </w:r>
    </w:p>
    <w:p>
      <w:pPr>
        <w:widowControl/>
        <w:spacing w:after="0" w:line="560" w:lineRule="exact"/>
        <w:ind w:firstLine="640" w:firstLineChars="200"/>
        <w:outlineLvl w:val="1"/>
        <w:rPr>
          <w:rFonts w:ascii="楷体_GB2312" w:hAnsi="Arial" w:eastAsia="楷体_GB2312" w:cs="Arial"/>
          <w:bCs/>
          <w:sz w:val="32"/>
          <w:szCs w:val="32"/>
          <w:highlight w:val="none"/>
        </w:rPr>
      </w:pPr>
      <w:bookmarkStart w:id="40" w:name="_Toc198553291"/>
      <w:r>
        <w:rPr>
          <w:rFonts w:hint="eastAsia" w:ascii="楷体_GB2312" w:hAnsi="Arial" w:eastAsia="楷体_GB2312" w:cs="Arial"/>
          <w:bCs/>
          <w:sz w:val="32"/>
          <w:szCs w:val="32"/>
          <w:highlight w:val="none"/>
        </w:rPr>
        <w:t>（三）项目产出情况</w:t>
      </w:r>
      <w:bookmarkEnd w:id="40"/>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1.产出数量</w:t>
      </w:r>
    </w:p>
    <w:p>
      <w:pPr>
        <w:spacing w:after="0" w:line="560" w:lineRule="exact"/>
        <w:ind w:firstLine="640" w:firstLineChars="200"/>
        <w:rPr>
          <w:rFonts w:hint="eastAsia" w:ascii="仿宋_GB2312" w:hAnsi="仿宋_GB2312" w:eastAsia="仿宋_GB2312" w:cs="仿宋_GB2312"/>
          <w:kern w:val="21"/>
          <w:sz w:val="32"/>
          <w:szCs w:val="32"/>
          <w:highlight w:val="none"/>
        </w:rPr>
      </w:pPr>
      <w:r>
        <w:rPr>
          <w:rFonts w:hint="eastAsia" w:ascii="仿宋_GB2312" w:hAnsi="仿宋_GB2312" w:eastAsia="仿宋_GB2312" w:cs="仿宋_GB2312"/>
          <w:kern w:val="21"/>
          <w:sz w:val="32"/>
          <w:szCs w:val="32"/>
          <w:highlight w:val="none"/>
        </w:rPr>
        <w:t>大兴区法院数量指标“满足派出机构、诉调对接中心与院本部的组网需求8处”已完成。</w:t>
      </w:r>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2.产出质量</w:t>
      </w:r>
    </w:p>
    <w:p>
      <w:pPr>
        <w:spacing w:after="0" w:line="560" w:lineRule="exact"/>
        <w:ind w:firstLine="640" w:firstLineChars="200"/>
        <w:rPr>
          <w:rFonts w:hint="eastAsia" w:ascii="仿宋_GB2312" w:hAnsi="仿宋_GB2312" w:eastAsia="仿宋_GB2312" w:cs="仿宋_GB2312"/>
          <w:kern w:val="21"/>
          <w:sz w:val="32"/>
          <w:szCs w:val="32"/>
          <w:highlight w:val="none"/>
        </w:rPr>
      </w:pPr>
      <w:r>
        <w:rPr>
          <w:rFonts w:hint="eastAsia" w:ascii="仿宋_GB2312" w:hAnsi="仿宋_GB2312" w:eastAsia="仿宋_GB2312" w:cs="仿宋_GB2312"/>
          <w:kern w:val="21"/>
          <w:sz w:val="32"/>
          <w:szCs w:val="32"/>
          <w:highlight w:val="none"/>
        </w:rPr>
        <w:t>根据《大兴区法院互联网专线运行保障年度工作总结》、质量验收记录表，专线各项运行指标达标，未发生重大事故，线路畅通合格率≥95%，全年线路畅通无故障，能够保障互联网承载的调解业务、视频业务等的正常运行，质量指标已完成。</w:t>
      </w:r>
    </w:p>
    <w:p>
      <w:pPr>
        <w:spacing w:after="0"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3.产出时效</w:t>
      </w:r>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该项目实际完成时间符合合同要求，在计划完成时间之内。</w:t>
      </w:r>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4.产出成本</w:t>
      </w:r>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该项目实际支出在预算范围内，项目资金的使用符合成本效益原则，2024年度全年服务费69万元，月均服务费5.75万元，</w:t>
      </w:r>
      <w:r>
        <w:rPr>
          <w:rFonts w:ascii="仿宋_GB2312" w:hAnsi="仿宋" w:eastAsia="仿宋_GB2312"/>
          <w:sz w:val="32"/>
          <w:szCs w:val="32"/>
          <w:highlight w:val="none"/>
        </w:rPr>
        <w:t>完成经济成本指标“</w:t>
      </w:r>
      <w:r>
        <w:rPr>
          <w:rFonts w:hint="eastAsia" w:ascii="仿宋_GB2312" w:hAnsi="仿宋" w:eastAsia="仿宋_GB2312"/>
          <w:sz w:val="32"/>
          <w:szCs w:val="32"/>
          <w:highlight w:val="none"/>
        </w:rPr>
        <w:t>月均服务费≤5.75万元”。</w:t>
      </w:r>
    </w:p>
    <w:p>
      <w:pPr>
        <w:widowControl/>
        <w:spacing w:after="0" w:line="560" w:lineRule="exact"/>
        <w:ind w:firstLine="640" w:firstLineChars="200"/>
        <w:outlineLvl w:val="1"/>
        <w:rPr>
          <w:rFonts w:ascii="楷体_GB2312" w:hAnsi="Arial" w:eastAsia="楷体_GB2312" w:cs="Arial"/>
          <w:bCs/>
          <w:sz w:val="32"/>
          <w:szCs w:val="32"/>
          <w:highlight w:val="none"/>
        </w:rPr>
      </w:pPr>
      <w:bookmarkStart w:id="41" w:name="_Toc198553292"/>
      <w:r>
        <w:rPr>
          <w:rFonts w:hint="eastAsia" w:ascii="楷体_GB2312" w:hAnsi="Arial" w:eastAsia="楷体_GB2312" w:cs="Arial"/>
          <w:bCs/>
          <w:sz w:val="32"/>
          <w:szCs w:val="32"/>
          <w:highlight w:val="none"/>
        </w:rPr>
        <w:t>（四）项目效益情况</w:t>
      </w:r>
      <w:bookmarkEnd w:id="41"/>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1.效益达成度</w:t>
      </w:r>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根据《关于效益达成度的情况说明》，社会效益指标“互联网承载业务的正常运行，确保对当事人提供服务的及时性、可靠性、持续性”已完成。</w:t>
      </w:r>
    </w:p>
    <w:bookmarkEnd w:id="31"/>
    <w:bookmarkEnd w:id="32"/>
    <w:bookmarkEnd w:id="33"/>
    <w:bookmarkEnd w:id="34"/>
    <w:bookmarkEnd w:id="35"/>
    <w:bookmarkEnd w:id="36"/>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2.服务对象满意度指标</w:t>
      </w:r>
    </w:p>
    <w:p>
      <w:pPr>
        <w:spacing w:after="0" w:line="560" w:lineRule="exact"/>
        <w:ind w:firstLine="640" w:firstLineChars="200"/>
        <w:rPr>
          <w:rFonts w:hint="eastAsia" w:ascii="仿宋_GB2312" w:hAnsi="仿宋" w:eastAsia="仿宋_GB2312"/>
          <w:sz w:val="32"/>
          <w:szCs w:val="32"/>
          <w:highlight w:val="none"/>
        </w:rPr>
      </w:pPr>
      <w:bookmarkStart w:id="42" w:name="_Hlk135935901"/>
      <w:r>
        <w:rPr>
          <w:rFonts w:hint="eastAsia" w:ascii="仿宋_GB2312" w:hAnsi="仿宋" w:eastAsia="仿宋_GB2312"/>
          <w:sz w:val="32"/>
          <w:szCs w:val="32"/>
          <w:highlight w:val="none"/>
        </w:rPr>
        <w:t>根据《大兴区法院互联网专线运行保障年度工作总结》和《大兴法院互联网专线用户使用满意度说明》，中国联通为大兴区法院提供的三条互联网专线实现了无线网络运行平稳，运行期间未发生故障，未接收到当事人投诉等事项，取得了良好的使用效果。</w:t>
      </w:r>
      <w:bookmarkEnd w:id="42"/>
    </w:p>
    <w:p>
      <w:pPr>
        <w:pStyle w:val="2"/>
        <w:tabs>
          <w:tab w:val="left" w:pos="588"/>
        </w:tabs>
        <w:spacing w:before="0" w:after="0" w:line="560" w:lineRule="exact"/>
        <w:ind w:firstLine="640" w:firstLineChars="200"/>
        <w:rPr>
          <w:rFonts w:hint="eastAsia" w:ascii="黑体" w:hAnsi="黑体" w:eastAsia="黑体"/>
          <w:b w:val="0"/>
          <w:bCs w:val="0"/>
          <w:sz w:val="32"/>
          <w:szCs w:val="32"/>
          <w:highlight w:val="none"/>
        </w:rPr>
      </w:pPr>
      <w:bookmarkStart w:id="43" w:name="_Toc198553293"/>
      <w:r>
        <w:rPr>
          <w:rFonts w:hint="eastAsia" w:ascii="黑体" w:hAnsi="黑体" w:eastAsia="黑体"/>
          <w:b w:val="0"/>
          <w:bCs w:val="0"/>
          <w:sz w:val="32"/>
          <w:szCs w:val="32"/>
          <w:highlight w:val="none"/>
        </w:rPr>
        <w:t>五、主要经验及做法、存在的问题及原因分析</w:t>
      </w:r>
      <w:bookmarkEnd w:id="43"/>
      <w:r>
        <w:rPr>
          <w:rFonts w:hint="eastAsia" w:ascii="黑体" w:hAnsi="黑体" w:eastAsia="黑体"/>
          <w:b w:val="0"/>
          <w:bCs w:val="0"/>
          <w:sz w:val="32"/>
          <w:szCs w:val="32"/>
          <w:highlight w:val="none"/>
        </w:rPr>
        <w:t xml:space="preserve"> </w:t>
      </w:r>
    </w:p>
    <w:p>
      <w:pPr>
        <w:pStyle w:val="3"/>
        <w:spacing w:before="0" w:after="0" w:line="560" w:lineRule="exact"/>
        <w:ind w:firstLine="640" w:firstLineChars="200"/>
        <w:rPr>
          <w:rFonts w:hint="eastAsia" w:ascii="楷体_GB2312" w:hAnsi="楷体_GB2312" w:eastAsia="楷体_GB2312" w:cs="楷体_GB2312"/>
          <w:b w:val="0"/>
          <w:bCs w:val="0"/>
          <w:highlight w:val="none"/>
        </w:rPr>
      </w:pPr>
      <w:bookmarkStart w:id="44" w:name="_Toc198553294"/>
      <w:r>
        <w:rPr>
          <w:rFonts w:hint="eastAsia" w:ascii="楷体_GB2312" w:hAnsi="楷体_GB2312" w:eastAsia="楷体_GB2312" w:cs="楷体_GB2312"/>
          <w:b w:val="0"/>
          <w:bCs w:val="0"/>
          <w:highlight w:val="none"/>
        </w:rPr>
        <w:t>（一）主要经验及做法</w:t>
      </w:r>
      <w:bookmarkEnd w:id="44"/>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 xml:space="preserve">大兴区法院以年度预算和相关调整预算为依据，按批准的支付计划申请资金支付，坚持勤俭节约、规范有序、量力而行的原则，合理使用经费，保障机关业务工作正常高效运转。 </w:t>
      </w:r>
    </w:p>
    <w:p>
      <w:pPr>
        <w:pStyle w:val="3"/>
        <w:spacing w:before="0" w:after="0" w:line="560" w:lineRule="exact"/>
        <w:ind w:firstLine="640" w:firstLineChars="200"/>
        <w:rPr>
          <w:rFonts w:hint="eastAsia" w:ascii="楷体_GB2312" w:hAnsi="楷体_GB2312" w:eastAsia="楷体_GB2312" w:cs="楷体_GB2312"/>
          <w:b w:val="0"/>
          <w:bCs w:val="0"/>
          <w:highlight w:val="none"/>
        </w:rPr>
      </w:pPr>
      <w:r>
        <w:rPr>
          <w:rFonts w:hint="eastAsia" w:ascii="楷体_GB2312" w:hAnsi="楷体_GB2312" w:eastAsia="楷体_GB2312" w:cs="楷体_GB2312"/>
          <w:b w:val="0"/>
          <w:bCs w:val="0"/>
          <w:highlight w:val="none"/>
        </w:rPr>
        <w:t xml:space="preserve"> </w:t>
      </w:r>
      <w:bookmarkStart w:id="45" w:name="_Toc198553295"/>
      <w:r>
        <w:rPr>
          <w:rFonts w:hint="eastAsia" w:ascii="楷体_GB2312" w:hAnsi="楷体_GB2312" w:eastAsia="楷体_GB2312" w:cs="楷体_GB2312"/>
          <w:b w:val="0"/>
          <w:bCs w:val="0"/>
          <w:highlight w:val="none"/>
        </w:rPr>
        <w:t>（二）存在的问题及原因分析</w:t>
      </w:r>
      <w:bookmarkEnd w:id="45"/>
    </w:p>
    <w:p>
      <w:pPr>
        <w:spacing w:after="0" w:line="560" w:lineRule="exact"/>
        <w:ind w:firstLine="640" w:firstLineChars="200"/>
        <w:rPr>
          <w:rFonts w:ascii="仿宋_GB2312" w:hAnsi="仿宋" w:eastAsia="仿宋_GB2312"/>
          <w:sz w:val="32"/>
          <w:szCs w:val="32"/>
          <w:highlight w:val="none"/>
        </w:rPr>
      </w:pPr>
      <w:r>
        <w:rPr>
          <w:rFonts w:hint="eastAsia" w:ascii="仿宋_GB2312" w:hAnsi="仿宋" w:eastAsia="仿宋_GB2312"/>
          <w:sz w:val="32"/>
          <w:szCs w:val="32"/>
          <w:highlight w:val="none"/>
        </w:rPr>
        <w:t>1.绩效目标申报表内容不够细化、完整，该项目未设置时效指标，未对该项目预期产生的效益进行深入挖掘，主要原因为绩效目标申报表填报不够细化、科学。</w:t>
      </w:r>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2.该项目预算金额的成本定额测算依据不够充分，主要原因为该项目为延续性项目，未在2024年年初对该项目预算编制进行重新论证。</w:t>
      </w:r>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3.该项目对所购买服务未制定质量监控制度和验收办法，主要原因为对项目管理细节缺乏重视，对项目监管过程资料的收集工作不够到位。</w:t>
      </w:r>
    </w:p>
    <w:p>
      <w:pPr>
        <w:pStyle w:val="2"/>
        <w:tabs>
          <w:tab w:val="left" w:pos="588"/>
        </w:tabs>
        <w:spacing w:before="0" w:after="0" w:line="560" w:lineRule="exact"/>
        <w:ind w:firstLine="640" w:firstLineChars="200"/>
        <w:rPr>
          <w:rFonts w:hint="eastAsia" w:ascii="黑体" w:hAnsi="黑体" w:eastAsia="黑体"/>
          <w:b w:val="0"/>
          <w:bCs w:val="0"/>
          <w:sz w:val="32"/>
          <w:szCs w:val="32"/>
          <w:highlight w:val="none"/>
        </w:rPr>
      </w:pPr>
      <w:bookmarkStart w:id="46" w:name="_Toc198553296"/>
      <w:r>
        <w:rPr>
          <w:rFonts w:hint="eastAsia" w:ascii="黑体" w:hAnsi="黑体" w:eastAsia="黑体"/>
          <w:b w:val="0"/>
          <w:bCs w:val="0"/>
          <w:sz w:val="32"/>
          <w:szCs w:val="32"/>
          <w:highlight w:val="none"/>
        </w:rPr>
        <w:t>六、有关建议</w:t>
      </w:r>
      <w:bookmarkEnd w:id="46"/>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1.规范填报项目绩效目标申报表，根据项目的内容客观预期项目实施能够达到的效果，科学设置绩效目标，指标应全面，包括必要的满意度指标，充分发挥绩效目标导向作用。</w:t>
      </w:r>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2.加强预算管理，对照历史年度项目实际支出，采用定额成本法核定年度预算支出的成本构成，审核预算投入的科学性与准确性。</w:t>
      </w:r>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3.重视项目管理的细节，加强项目过程监督和项目过程资料的收集、整理，进一步规范项目执行程序，提高项目管理水平。</w:t>
      </w:r>
    </w:p>
    <w:bookmarkEnd w:id="0"/>
    <w:bookmarkEnd w:id="1"/>
    <w:bookmarkEnd w:id="2"/>
    <w:bookmarkEnd w:id="3"/>
    <w:bookmarkEnd w:id="4"/>
    <w:bookmarkEnd w:id="5"/>
    <w:bookmarkEnd w:id="6"/>
    <w:bookmarkEnd w:id="7"/>
    <w:bookmarkEnd w:id="8"/>
    <w:bookmarkEnd w:id="9"/>
    <w:p>
      <w:pPr>
        <w:pStyle w:val="2"/>
        <w:tabs>
          <w:tab w:val="left" w:pos="588"/>
        </w:tabs>
        <w:spacing w:before="0" w:after="0" w:line="560" w:lineRule="exact"/>
        <w:ind w:firstLine="640" w:firstLineChars="200"/>
        <w:rPr>
          <w:rFonts w:hint="eastAsia" w:ascii="黑体" w:hAnsi="黑体" w:eastAsia="黑体"/>
          <w:b w:val="0"/>
          <w:bCs w:val="0"/>
          <w:sz w:val="32"/>
          <w:szCs w:val="32"/>
          <w:highlight w:val="none"/>
        </w:rPr>
      </w:pPr>
      <w:bookmarkStart w:id="47" w:name="_Toc198553297"/>
      <w:r>
        <w:rPr>
          <w:rFonts w:hint="eastAsia" w:ascii="黑体" w:hAnsi="黑体" w:eastAsia="黑体"/>
          <w:b w:val="0"/>
          <w:bCs w:val="0"/>
          <w:sz w:val="32"/>
          <w:szCs w:val="32"/>
          <w:highlight w:val="none"/>
        </w:rPr>
        <w:t>七、其他需要说明的问题</w:t>
      </w:r>
      <w:bookmarkEnd w:id="47"/>
    </w:p>
    <w:p>
      <w:pPr>
        <w:spacing w:after="0"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无。</w:t>
      </w:r>
    </w:p>
    <w:p>
      <w:pPr>
        <w:spacing w:after="0" w:line="560" w:lineRule="exact"/>
        <w:ind w:firstLine="640" w:firstLineChars="200"/>
        <w:rPr>
          <w:rFonts w:hint="eastAsia" w:ascii="仿宋_GB2312" w:hAnsi="仿宋" w:eastAsia="仿宋_GB2312" w:cs="仿宋"/>
          <w:sz w:val="28"/>
          <w:szCs w:val="28"/>
        </w:rPr>
      </w:pPr>
      <w:r>
        <w:rPr>
          <w:rFonts w:hint="eastAsia" w:ascii="仿宋_GB2312" w:hAnsi="仿宋" w:eastAsia="仿宋_GB2312"/>
          <w:sz w:val="32"/>
          <w:szCs w:val="32"/>
          <w:highlight w:val="none"/>
        </w:rPr>
        <w:t>附件：北京市大兴区人民法院“互联网接入费”</w:t>
      </w:r>
      <w:r>
        <w:rPr>
          <w:rFonts w:hint="eastAsia" w:ascii="仿宋_GB2312" w:hAnsi="仿宋" w:eastAsia="仿宋_GB2312"/>
          <w:sz w:val="32"/>
          <w:szCs w:val="32"/>
        </w:rPr>
        <w:t>项目绩效评价指标体系及评分表。</w:t>
      </w:r>
    </w:p>
    <w:sectPr>
      <w:headerReference r:id="rId6" w:type="default"/>
      <w:footerReference r:id="rId7" w:type="default"/>
      <w:pgSz w:w="11906" w:h="16838"/>
      <w:pgMar w:top="1440" w:right="1800" w:bottom="1440" w:left="1800" w:header="851" w:footer="992"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NanumGothic">
    <w:panose1 w:val="020D0604000000000000"/>
    <w:charset w:val="81"/>
    <w:family w:val="auto"/>
    <w:pitch w:val="default"/>
    <w:sig w:usb0="900002A7" w:usb1="29D7FCFB" w:usb2="00000010" w:usb3="00000000" w:csb0="00080001"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8615695"/>
      <w:docPartObj>
        <w:docPartGallery w:val="autotext"/>
      </w:docPartObj>
    </w:sdtPr>
    <w:sdtContent>
      <w:p>
        <w:pPr>
          <w:pStyle w:val="8"/>
          <w:jc w:val="center"/>
        </w:pPr>
        <w:r>
          <w:fldChar w:fldCharType="begin"/>
        </w:r>
        <w:r>
          <w:instrText xml:space="preserve">PAGE   \* MERGEFORMAT</w:instrText>
        </w:r>
        <w:r>
          <w:fldChar w:fldCharType="separate"/>
        </w:r>
        <w:r>
          <w:rPr>
            <w:lang w:val="zh-CN"/>
          </w:rPr>
          <w:t>2</w:t>
        </w:r>
        <w:r>
          <w:fldChar w:fldCharType="end"/>
        </w:r>
      </w:p>
    </w:sdtContent>
  </w:sdt>
  <w:p>
    <w:pPr>
      <w:pStyle w:val="8"/>
      <w:jc w:val="center"/>
      <w:rPr>
        <w:rFonts w:hint="eastAsia" w:ascii="宋体" w:hAnsi="宋体"/>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FD303C"/>
    <w:multiLevelType w:val="singleLevel"/>
    <w:tmpl w:val="B7FD303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2ODgxMjQ1ZjkzY2IwNzk2ZDJkYzJmNTA4ZTM0YmYifQ=="/>
  </w:docVars>
  <w:rsids>
    <w:rsidRoot w:val="006067B6"/>
    <w:rsid w:val="0000178A"/>
    <w:rsid w:val="0000220A"/>
    <w:rsid w:val="00003EF0"/>
    <w:rsid w:val="0000435F"/>
    <w:rsid w:val="00004880"/>
    <w:rsid w:val="00004D15"/>
    <w:rsid w:val="0000602C"/>
    <w:rsid w:val="00007C79"/>
    <w:rsid w:val="000100EB"/>
    <w:rsid w:val="00010537"/>
    <w:rsid w:val="00010DDE"/>
    <w:rsid w:val="0001166D"/>
    <w:rsid w:val="00011DEF"/>
    <w:rsid w:val="00023DA8"/>
    <w:rsid w:val="0003213E"/>
    <w:rsid w:val="00037102"/>
    <w:rsid w:val="000415E4"/>
    <w:rsid w:val="0004292B"/>
    <w:rsid w:val="00044D1C"/>
    <w:rsid w:val="00044F4E"/>
    <w:rsid w:val="000457A7"/>
    <w:rsid w:val="00045CC1"/>
    <w:rsid w:val="00051F92"/>
    <w:rsid w:val="00052315"/>
    <w:rsid w:val="000541C7"/>
    <w:rsid w:val="00056A20"/>
    <w:rsid w:val="00056D68"/>
    <w:rsid w:val="00064D29"/>
    <w:rsid w:val="00065A50"/>
    <w:rsid w:val="00070B39"/>
    <w:rsid w:val="0007210B"/>
    <w:rsid w:val="00073122"/>
    <w:rsid w:val="00076C94"/>
    <w:rsid w:val="00081614"/>
    <w:rsid w:val="00085E5F"/>
    <w:rsid w:val="00087530"/>
    <w:rsid w:val="00087FB2"/>
    <w:rsid w:val="000A5C29"/>
    <w:rsid w:val="000B1C93"/>
    <w:rsid w:val="000B2EC5"/>
    <w:rsid w:val="000B64DD"/>
    <w:rsid w:val="000B6B73"/>
    <w:rsid w:val="000B6E46"/>
    <w:rsid w:val="000C12E8"/>
    <w:rsid w:val="000C20AE"/>
    <w:rsid w:val="000C20EC"/>
    <w:rsid w:val="000C3F02"/>
    <w:rsid w:val="000C46B9"/>
    <w:rsid w:val="000C69B9"/>
    <w:rsid w:val="000C6CD5"/>
    <w:rsid w:val="000D23A8"/>
    <w:rsid w:val="000D5FD6"/>
    <w:rsid w:val="000E010F"/>
    <w:rsid w:val="000E125A"/>
    <w:rsid w:val="000E5DB9"/>
    <w:rsid w:val="000E6B02"/>
    <w:rsid w:val="000E6DDC"/>
    <w:rsid w:val="000E78E2"/>
    <w:rsid w:val="000F1088"/>
    <w:rsid w:val="000F3CCF"/>
    <w:rsid w:val="000F4F6F"/>
    <w:rsid w:val="000F5109"/>
    <w:rsid w:val="000F58AF"/>
    <w:rsid w:val="000F5EDC"/>
    <w:rsid w:val="000F6A50"/>
    <w:rsid w:val="0010717B"/>
    <w:rsid w:val="00113526"/>
    <w:rsid w:val="001161DD"/>
    <w:rsid w:val="00116EEB"/>
    <w:rsid w:val="0012246F"/>
    <w:rsid w:val="00122A90"/>
    <w:rsid w:val="00125891"/>
    <w:rsid w:val="001266AF"/>
    <w:rsid w:val="0012702E"/>
    <w:rsid w:val="001275A5"/>
    <w:rsid w:val="00132673"/>
    <w:rsid w:val="001372FF"/>
    <w:rsid w:val="00142684"/>
    <w:rsid w:val="00142ADB"/>
    <w:rsid w:val="00145DF8"/>
    <w:rsid w:val="00147241"/>
    <w:rsid w:val="00152D20"/>
    <w:rsid w:val="00157303"/>
    <w:rsid w:val="001607E3"/>
    <w:rsid w:val="00163E7A"/>
    <w:rsid w:val="0016535C"/>
    <w:rsid w:val="00167579"/>
    <w:rsid w:val="00175D27"/>
    <w:rsid w:val="00176093"/>
    <w:rsid w:val="00183985"/>
    <w:rsid w:val="00187F20"/>
    <w:rsid w:val="00192283"/>
    <w:rsid w:val="00192A66"/>
    <w:rsid w:val="00195068"/>
    <w:rsid w:val="00195D4F"/>
    <w:rsid w:val="001A0274"/>
    <w:rsid w:val="001A0FD9"/>
    <w:rsid w:val="001A2B57"/>
    <w:rsid w:val="001A2D83"/>
    <w:rsid w:val="001B3178"/>
    <w:rsid w:val="001B31DF"/>
    <w:rsid w:val="001B3D87"/>
    <w:rsid w:val="001B4AB0"/>
    <w:rsid w:val="001B7452"/>
    <w:rsid w:val="001C0232"/>
    <w:rsid w:val="001C1805"/>
    <w:rsid w:val="001C5BEC"/>
    <w:rsid w:val="001D0D6E"/>
    <w:rsid w:val="001D4220"/>
    <w:rsid w:val="001D5E7D"/>
    <w:rsid w:val="001D7F70"/>
    <w:rsid w:val="001E1AC4"/>
    <w:rsid w:val="001E2B6D"/>
    <w:rsid w:val="001E49A4"/>
    <w:rsid w:val="001E6789"/>
    <w:rsid w:val="001F3AC0"/>
    <w:rsid w:val="001F4FD6"/>
    <w:rsid w:val="001F5003"/>
    <w:rsid w:val="001F5148"/>
    <w:rsid w:val="001F6208"/>
    <w:rsid w:val="001F678B"/>
    <w:rsid w:val="001F7ABA"/>
    <w:rsid w:val="001F7EFF"/>
    <w:rsid w:val="00201150"/>
    <w:rsid w:val="00201B57"/>
    <w:rsid w:val="00202165"/>
    <w:rsid w:val="002026AD"/>
    <w:rsid w:val="0021048C"/>
    <w:rsid w:val="0021409F"/>
    <w:rsid w:val="00215664"/>
    <w:rsid w:val="002165C5"/>
    <w:rsid w:val="00216E31"/>
    <w:rsid w:val="002177C0"/>
    <w:rsid w:val="00217CE7"/>
    <w:rsid w:val="00223D1C"/>
    <w:rsid w:val="00230093"/>
    <w:rsid w:val="002300C0"/>
    <w:rsid w:val="0023077E"/>
    <w:rsid w:val="00231504"/>
    <w:rsid w:val="00231B7F"/>
    <w:rsid w:val="0023204E"/>
    <w:rsid w:val="002320AD"/>
    <w:rsid w:val="0023478C"/>
    <w:rsid w:val="00234ADF"/>
    <w:rsid w:val="002359F4"/>
    <w:rsid w:val="00235C4B"/>
    <w:rsid w:val="00241BF5"/>
    <w:rsid w:val="00243E54"/>
    <w:rsid w:val="002479A6"/>
    <w:rsid w:val="00253C6A"/>
    <w:rsid w:val="00255026"/>
    <w:rsid w:val="002565A9"/>
    <w:rsid w:val="00257263"/>
    <w:rsid w:val="00257951"/>
    <w:rsid w:val="00264D61"/>
    <w:rsid w:val="00266C56"/>
    <w:rsid w:val="00271C50"/>
    <w:rsid w:val="002762E1"/>
    <w:rsid w:val="00276B79"/>
    <w:rsid w:val="002801F5"/>
    <w:rsid w:val="0028585B"/>
    <w:rsid w:val="00290723"/>
    <w:rsid w:val="00292237"/>
    <w:rsid w:val="002928FC"/>
    <w:rsid w:val="00295C15"/>
    <w:rsid w:val="002A0B6A"/>
    <w:rsid w:val="002A1D43"/>
    <w:rsid w:val="002A30D5"/>
    <w:rsid w:val="002A4578"/>
    <w:rsid w:val="002A614A"/>
    <w:rsid w:val="002B0D45"/>
    <w:rsid w:val="002B4D42"/>
    <w:rsid w:val="002C3831"/>
    <w:rsid w:val="002C5222"/>
    <w:rsid w:val="002C7879"/>
    <w:rsid w:val="002D3477"/>
    <w:rsid w:val="002D5782"/>
    <w:rsid w:val="002D5B8E"/>
    <w:rsid w:val="002E73ED"/>
    <w:rsid w:val="002E7A4B"/>
    <w:rsid w:val="002E7C16"/>
    <w:rsid w:val="002F4590"/>
    <w:rsid w:val="003019DF"/>
    <w:rsid w:val="00302D11"/>
    <w:rsid w:val="0030322C"/>
    <w:rsid w:val="00306622"/>
    <w:rsid w:val="00313754"/>
    <w:rsid w:val="00315082"/>
    <w:rsid w:val="003223CF"/>
    <w:rsid w:val="00322EC4"/>
    <w:rsid w:val="003232D0"/>
    <w:rsid w:val="00327CA0"/>
    <w:rsid w:val="0033481F"/>
    <w:rsid w:val="0033502C"/>
    <w:rsid w:val="0033697D"/>
    <w:rsid w:val="00337D46"/>
    <w:rsid w:val="003415E9"/>
    <w:rsid w:val="0034249B"/>
    <w:rsid w:val="003465CA"/>
    <w:rsid w:val="003472AA"/>
    <w:rsid w:val="00350B74"/>
    <w:rsid w:val="00350F2A"/>
    <w:rsid w:val="00355BAA"/>
    <w:rsid w:val="00360502"/>
    <w:rsid w:val="003643BF"/>
    <w:rsid w:val="003663E2"/>
    <w:rsid w:val="00374517"/>
    <w:rsid w:val="00374827"/>
    <w:rsid w:val="00374FFB"/>
    <w:rsid w:val="00376E0D"/>
    <w:rsid w:val="00381421"/>
    <w:rsid w:val="00392887"/>
    <w:rsid w:val="00396B90"/>
    <w:rsid w:val="003A3F9C"/>
    <w:rsid w:val="003B36F5"/>
    <w:rsid w:val="003B7A88"/>
    <w:rsid w:val="003B7C03"/>
    <w:rsid w:val="003C07E4"/>
    <w:rsid w:val="003C0D5E"/>
    <w:rsid w:val="003C2DA3"/>
    <w:rsid w:val="003C3D00"/>
    <w:rsid w:val="003C4087"/>
    <w:rsid w:val="003C5F49"/>
    <w:rsid w:val="003D54D8"/>
    <w:rsid w:val="003D5970"/>
    <w:rsid w:val="003E02A4"/>
    <w:rsid w:val="003E645A"/>
    <w:rsid w:val="003E6C00"/>
    <w:rsid w:val="003E71E7"/>
    <w:rsid w:val="003F1B1E"/>
    <w:rsid w:val="003F5E1A"/>
    <w:rsid w:val="00402D8A"/>
    <w:rsid w:val="004070E5"/>
    <w:rsid w:val="004075BD"/>
    <w:rsid w:val="0041173F"/>
    <w:rsid w:val="00413339"/>
    <w:rsid w:val="004158F1"/>
    <w:rsid w:val="00432B44"/>
    <w:rsid w:val="00436AAC"/>
    <w:rsid w:val="00436DB6"/>
    <w:rsid w:val="00440601"/>
    <w:rsid w:val="004437B0"/>
    <w:rsid w:val="00443B3E"/>
    <w:rsid w:val="00444BA4"/>
    <w:rsid w:val="004551E0"/>
    <w:rsid w:val="00455E29"/>
    <w:rsid w:val="00457B09"/>
    <w:rsid w:val="00460EE8"/>
    <w:rsid w:val="00461780"/>
    <w:rsid w:val="00461E48"/>
    <w:rsid w:val="00463CD0"/>
    <w:rsid w:val="00466DFE"/>
    <w:rsid w:val="00485DF0"/>
    <w:rsid w:val="00491B9C"/>
    <w:rsid w:val="00494106"/>
    <w:rsid w:val="004959F0"/>
    <w:rsid w:val="004965D2"/>
    <w:rsid w:val="00497634"/>
    <w:rsid w:val="004A1344"/>
    <w:rsid w:val="004A305E"/>
    <w:rsid w:val="004B2B60"/>
    <w:rsid w:val="004B2ECF"/>
    <w:rsid w:val="004B394C"/>
    <w:rsid w:val="004C2A2A"/>
    <w:rsid w:val="004C3130"/>
    <w:rsid w:val="004C6969"/>
    <w:rsid w:val="004D29AE"/>
    <w:rsid w:val="004D4067"/>
    <w:rsid w:val="004D57E4"/>
    <w:rsid w:val="004E16BA"/>
    <w:rsid w:val="004E1926"/>
    <w:rsid w:val="004E4CE5"/>
    <w:rsid w:val="004E51C7"/>
    <w:rsid w:val="004F02EB"/>
    <w:rsid w:val="004F38B0"/>
    <w:rsid w:val="004F7762"/>
    <w:rsid w:val="00503BF8"/>
    <w:rsid w:val="005050FD"/>
    <w:rsid w:val="005073A9"/>
    <w:rsid w:val="00510BAD"/>
    <w:rsid w:val="00510D05"/>
    <w:rsid w:val="005115D1"/>
    <w:rsid w:val="005205A4"/>
    <w:rsid w:val="0052511E"/>
    <w:rsid w:val="005251D6"/>
    <w:rsid w:val="00530591"/>
    <w:rsid w:val="00535094"/>
    <w:rsid w:val="00545471"/>
    <w:rsid w:val="005454AB"/>
    <w:rsid w:val="00546762"/>
    <w:rsid w:val="00546A6D"/>
    <w:rsid w:val="005470B7"/>
    <w:rsid w:val="00550DB7"/>
    <w:rsid w:val="00553060"/>
    <w:rsid w:val="00553945"/>
    <w:rsid w:val="00553B0B"/>
    <w:rsid w:val="005563E6"/>
    <w:rsid w:val="0056186B"/>
    <w:rsid w:val="00565A5A"/>
    <w:rsid w:val="005667BF"/>
    <w:rsid w:val="0057007B"/>
    <w:rsid w:val="00572AF2"/>
    <w:rsid w:val="00573430"/>
    <w:rsid w:val="00577FCE"/>
    <w:rsid w:val="00583381"/>
    <w:rsid w:val="00583F80"/>
    <w:rsid w:val="00585B46"/>
    <w:rsid w:val="005869E8"/>
    <w:rsid w:val="00594D08"/>
    <w:rsid w:val="00596751"/>
    <w:rsid w:val="005A0DFD"/>
    <w:rsid w:val="005A607F"/>
    <w:rsid w:val="005B2B99"/>
    <w:rsid w:val="005C2B0E"/>
    <w:rsid w:val="005D1034"/>
    <w:rsid w:val="005D1989"/>
    <w:rsid w:val="005D38EC"/>
    <w:rsid w:val="005D4C2B"/>
    <w:rsid w:val="005D4F5D"/>
    <w:rsid w:val="005E37FE"/>
    <w:rsid w:val="005E560D"/>
    <w:rsid w:val="005F1715"/>
    <w:rsid w:val="005F540C"/>
    <w:rsid w:val="005F7793"/>
    <w:rsid w:val="00601FB5"/>
    <w:rsid w:val="0060341F"/>
    <w:rsid w:val="006053FA"/>
    <w:rsid w:val="006067B6"/>
    <w:rsid w:val="00606994"/>
    <w:rsid w:val="00606AC7"/>
    <w:rsid w:val="006121F2"/>
    <w:rsid w:val="00615AFA"/>
    <w:rsid w:val="006262B6"/>
    <w:rsid w:val="00630CF2"/>
    <w:rsid w:val="00631359"/>
    <w:rsid w:val="00633306"/>
    <w:rsid w:val="00636B53"/>
    <w:rsid w:val="00637CDA"/>
    <w:rsid w:val="00650C50"/>
    <w:rsid w:val="006531EA"/>
    <w:rsid w:val="006532D5"/>
    <w:rsid w:val="006557EB"/>
    <w:rsid w:val="00661751"/>
    <w:rsid w:val="006638E3"/>
    <w:rsid w:val="00664756"/>
    <w:rsid w:val="00671818"/>
    <w:rsid w:val="0067415B"/>
    <w:rsid w:val="0067544A"/>
    <w:rsid w:val="00681FC8"/>
    <w:rsid w:val="006834EC"/>
    <w:rsid w:val="0068798C"/>
    <w:rsid w:val="0069778C"/>
    <w:rsid w:val="006A1E26"/>
    <w:rsid w:val="006A3998"/>
    <w:rsid w:val="006A3C74"/>
    <w:rsid w:val="006A4D38"/>
    <w:rsid w:val="006A59A9"/>
    <w:rsid w:val="006A665C"/>
    <w:rsid w:val="006B2A20"/>
    <w:rsid w:val="006C0AD1"/>
    <w:rsid w:val="006C10FA"/>
    <w:rsid w:val="006C414D"/>
    <w:rsid w:val="006C4E28"/>
    <w:rsid w:val="006C5DEF"/>
    <w:rsid w:val="006C70CF"/>
    <w:rsid w:val="006C7193"/>
    <w:rsid w:val="006E3693"/>
    <w:rsid w:val="006E3AFC"/>
    <w:rsid w:val="006F122B"/>
    <w:rsid w:val="006F4429"/>
    <w:rsid w:val="006F4D43"/>
    <w:rsid w:val="006F4FB8"/>
    <w:rsid w:val="006F6A8C"/>
    <w:rsid w:val="00706911"/>
    <w:rsid w:val="00713967"/>
    <w:rsid w:val="00714B3C"/>
    <w:rsid w:val="00715D0E"/>
    <w:rsid w:val="00716C5D"/>
    <w:rsid w:val="007173B2"/>
    <w:rsid w:val="00724311"/>
    <w:rsid w:val="00733473"/>
    <w:rsid w:val="0073368A"/>
    <w:rsid w:val="00733BE9"/>
    <w:rsid w:val="00735AA0"/>
    <w:rsid w:val="00740359"/>
    <w:rsid w:val="007424DE"/>
    <w:rsid w:val="00742A4A"/>
    <w:rsid w:val="0074550B"/>
    <w:rsid w:val="0074715A"/>
    <w:rsid w:val="00750A95"/>
    <w:rsid w:val="00754810"/>
    <w:rsid w:val="00756C13"/>
    <w:rsid w:val="00757EA9"/>
    <w:rsid w:val="007619C2"/>
    <w:rsid w:val="007735AA"/>
    <w:rsid w:val="007763D7"/>
    <w:rsid w:val="00776A98"/>
    <w:rsid w:val="0078042E"/>
    <w:rsid w:val="007819C9"/>
    <w:rsid w:val="00782E81"/>
    <w:rsid w:val="00783B6B"/>
    <w:rsid w:val="00790AF9"/>
    <w:rsid w:val="00793723"/>
    <w:rsid w:val="007968E7"/>
    <w:rsid w:val="00797582"/>
    <w:rsid w:val="007A4D02"/>
    <w:rsid w:val="007A5E3B"/>
    <w:rsid w:val="007A687A"/>
    <w:rsid w:val="007B218A"/>
    <w:rsid w:val="007B3F51"/>
    <w:rsid w:val="007B6A49"/>
    <w:rsid w:val="007B7596"/>
    <w:rsid w:val="007C150C"/>
    <w:rsid w:val="007D0D5A"/>
    <w:rsid w:val="007D45EC"/>
    <w:rsid w:val="007D66C2"/>
    <w:rsid w:val="007E54A3"/>
    <w:rsid w:val="007E6304"/>
    <w:rsid w:val="007E6E82"/>
    <w:rsid w:val="007F1EFA"/>
    <w:rsid w:val="0080252A"/>
    <w:rsid w:val="00813B49"/>
    <w:rsid w:val="0081741F"/>
    <w:rsid w:val="008209C3"/>
    <w:rsid w:val="00830653"/>
    <w:rsid w:val="00830940"/>
    <w:rsid w:val="0083337A"/>
    <w:rsid w:val="00834345"/>
    <w:rsid w:val="00835AAF"/>
    <w:rsid w:val="008368ED"/>
    <w:rsid w:val="0084481A"/>
    <w:rsid w:val="008468DC"/>
    <w:rsid w:val="008478BA"/>
    <w:rsid w:val="008520B7"/>
    <w:rsid w:val="00852736"/>
    <w:rsid w:val="00856FB2"/>
    <w:rsid w:val="00865176"/>
    <w:rsid w:val="008669AB"/>
    <w:rsid w:val="00867B68"/>
    <w:rsid w:val="008702CA"/>
    <w:rsid w:val="008720C0"/>
    <w:rsid w:val="00872448"/>
    <w:rsid w:val="008725A1"/>
    <w:rsid w:val="008736DF"/>
    <w:rsid w:val="0087412D"/>
    <w:rsid w:val="00875CFD"/>
    <w:rsid w:val="0087685B"/>
    <w:rsid w:val="008845AE"/>
    <w:rsid w:val="008929EC"/>
    <w:rsid w:val="0089450A"/>
    <w:rsid w:val="008979EB"/>
    <w:rsid w:val="008B2C0A"/>
    <w:rsid w:val="008B3B7D"/>
    <w:rsid w:val="008B7084"/>
    <w:rsid w:val="008C088B"/>
    <w:rsid w:val="008C42CC"/>
    <w:rsid w:val="008C50DD"/>
    <w:rsid w:val="008C7CD4"/>
    <w:rsid w:val="008D234B"/>
    <w:rsid w:val="008D2828"/>
    <w:rsid w:val="008D29AF"/>
    <w:rsid w:val="008D44AB"/>
    <w:rsid w:val="008D575A"/>
    <w:rsid w:val="008D7EA6"/>
    <w:rsid w:val="008E159D"/>
    <w:rsid w:val="008E3169"/>
    <w:rsid w:val="008E5E2B"/>
    <w:rsid w:val="008E62F8"/>
    <w:rsid w:val="008F261A"/>
    <w:rsid w:val="008F6438"/>
    <w:rsid w:val="008F7976"/>
    <w:rsid w:val="009008D9"/>
    <w:rsid w:val="009067D9"/>
    <w:rsid w:val="00906D4A"/>
    <w:rsid w:val="00910052"/>
    <w:rsid w:val="0091407D"/>
    <w:rsid w:val="00914B22"/>
    <w:rsid w:val="009171FD"/>
    <w:rsid w:val="0092084E"/>
    <w:rsid w:val="00925759"/>
    <w:rsid w:val="00926FB1"/>
    <w:rsid w:val="00930286"/>
    <w:rsid w:val="00931E6E"/>
    <w:rsid w:val="00941293"/>
    <w:rsid w:val="00941F8B"/>
    <w:rsid w:val="00945682"/>
    <w:rsid w:val="0095284A"/>
    <w:rsid w:val="009551EA"/>
    <w:rsid w:val="00955863"/>
    <w:rsid w:val="00964D18"/>
    <w:rsid w:val="0096591D"/>
    <w:rsid w:val="0097131E"/>
    <w:rsid w:val="00973C63"/>
    <w:rsid w:val="00975646"/>
    <w:rsid w:val="0098722B"/>
    <w:rsid w:val="009878DF"/>
    <w:rsid w:val="009879FE"/>
    <w:rsid w:val="009946C6"/>
    <w:rsid w:val="009A2DC7"/>
    <w:rsid w:val="009B0B07"/>
    <w:rsid w:val="009B1436"/>
    <w:rsid w:val="009B1FD3"/>
    <w:rsid w:val="009B2068"/>
    <w:rsid w:val="009B3415"/>
    <w:rsid w:val="009B6761"/>
    <w:rsid w:val="009C0BD2"/>
    <w:rsid w:val="009C0DBB"/>
    <w:rsid w:val="009C2772"/>
    <w:rsid w:val="009C4FDA"/>
    <w:rsid w:val="009C5A35"/>
    <w:rsid w:val="009C7730"/>
    <w:rsid w:val="009D0145"/>
    <w:rsid w:val="009D215C"/>
    <w:rsid w:val="009D427B"/>
    <w:rsid w:val="009E1A1D"/>
    <w:rsid w:val="009E2D52"/>
    <w:rsid w:val="009E7A02"/>
    <w:rsid w:val="009F1F8B"/>
    <w:rsid w:val="009F22FC"/>
    <w:rsid w:val="009F343E"/>
    <w:rsid w:val="009F604B"/>
    <w:rsid w:val="009F6D21"/>
    <w:rsid w:val="00A00474"/>
    <w:rsid w:val="00A02324"/>
    <w:rsid w:val="00A02504"/>
    <w:rsid w:val="00A027C3"/>
    <w:rsid w:val="00A05B3D"/>
    <w:rsid w:val="00A06405"/>
    <w:rsid w:val="00A1089E"/>
    <w:rsid w:val="00A15F70"/>
    <w:rsid w:val="00A17FE7"/>
    <w:rsid w:val="00A200B0"/>
    <w:rsid w:val="00A24926"/>
    <w:rsid w:val="00A316D4"/>
    <w:rsid w:val="00A334E4"/>
    <w:rsid w:val="00A36D38"/>
    <w:rsid w:val="00A377F4"/>
    <w:rsid w:val="00A40E17"/>
    <w:rsid w:val="00A42948"/>
    <w:rsid w:val="00A43FF2"/>
    <w:rsid w:val="00A45FC7"/>
    <w:rsid w:val="00A51B6C"/>
    <w:rsid w:val="00A543E8"/>
    <w:rsid w:val="00A5541D"/>
    <w:rsid w:val="00A56054"/>
    <w:rsid w:val="00A566FB"/>
    <w:rsid w:val="00A60241"/>
    <w:rsid w:val="00A65C27"/>
    <w:rsid w:val="00A663A8"/>
    <w:rsid w:val="00A706DD"/>
    <w:rsid w:val="00A7780D"/>
    <w:rsid w:val="00A812C0"/>
    <w:rsid w:val="00A83D5E"/>
    <w:rsid w:val="00A90601"/>
    <w:rsid w:val="00A91AD9"/>
    <w:rsid w:val="00A937DC"/>
    <w:rsid w:val="00A9506E"/>
    <w:rsid w:val="00AA0D70"/>
    <w:rsid w:val="00AA26CB"/>
    <w:rsid w:val="00AA2AAA"/>
    <w:rsid w:val="00AA3D45"/>
    <w:rsid w:val="00AB5C45"/>
    <w:rsid w:val="00AC0603"/>
    <w:rsid w:val="00AC3556"/>
    <w:rsid w:val="00AC743F"/>
    <w:rsid w:val="00AD2F13"/>
    <w:rsid w:val="00AD616A"/>
    <w:rsid w:val="00AE138D"/>
    <w:rsid w:val="00AE38B3"/>
    <w:rsid w:val="00AE4C8C"/>
    <w:rsid w:val="00AE53BA"/>
    <w:rsid w:val="00AE58C7"/>
    <w:rsid w:val="00AF040E"/>
    <w:rsid w:val="00AF19BA"/>
    <w:rsid w:val="00AF2B6D"/>
    <w:rsid w:val="00AF334A"/>
    <w:rsid w:val="00AF4442"/>
    <w:rsid w:val="00B042A3"/>
    <w:rsid w:val="00B05719"/>
    <w:rsid w:val="00B14EAF"/>
    <w:rsid w:val="00B164C1"/>
    <w:rsid w:val="00B1731D"/>
    <w:rsid w:val="00B1731F"/>
    <w:rsid w:val="00B17C5B"/>
    <w:rsid w:val="00B2314F"/>
    <w:rsid w:val="00B2642A"/>
    <w:rsid w:val="00B2660D"/>
    <w:rsid w:val="00B27940"/>
    <w:rsid w:val="00B315DA"/>
    <w:rsid w:val="00B33DD7"/>
    <w:rsid w:val="00B34A34"/>
    <w:rsid w:val="00B35B1B"/>
    <w:rsid w:val="00B374AB"/>
    <w:rsid w:val="00B438F3"/>
    <w:rsid w:val="00B47A8B"/>
    <w:rsid w:val="00B57695"/>
    <w:rsid w:val="00B6037E"/>
    <w:rsid w:val="00B70259"/>
    <w:rsid w:val="00B71204"/>
    <w:rsid w:val="00B84252"/>
    <w:rsid w:val="00B86E9F"/>
    <w:rsid w:val="00B87D0B"/>
    <w:rsid w:val="00B916E4"/>
    <w:rsid w:val="00B920DD"/>
    <w:rsid w:val="00B92AB3"/>
    <w:rsid w:val="00B92D91"/>
    <w:rsid w:val="00B951C7"/>
    <w:rsid w:val="00BA04E3"/>
    <w:rsid w:val="00BA13C7"/>
    <w:rsid w:val="00BA7512"/>
    <w:rsid w:val="00BB1782"/>
    <w:rsid w:val="00BB7149"/>
    <w:rsid w:val="00BC0C8F"/>
    <w:rsid w:val="00BC1488"/>
    <w:rsid w:val="00BC249D"/>
    <w:rsid w:val="00BC4221"/>
    <w:rsid w:val="00BC56A4"/>
    <w:rsid w:val="00BD057D"/>
    <w:rsid w:val="00BD3ACD"/>
    <w:rsid w:val="00BD48F8"/>
    <w:rsid w:val="00BD682B"/>
    <w:rsid w:val="00BD7B06"/>
    <w:rsid w:val="00BE3CB7"/>
    <w:rsid w:val="00BE49F6"/>
    <w:rsid w:val="00BE51CB"/>
    <w:rsid w:val="00BE6EE2"/>
    <w:rsid w:val="00BF3921"/>
    <w:rsid w:val="00BF71E7"/>
    <w:rsid w:val="00C03747"/>
    <w:rsid w:val="00C03E00"/>
    <w:rsid w:val="00C075CA"/>
    <w:rsid w:val="00C12880"/>
    <w:rsid w:val="00C14916"/>
    <w:rsid w:val="00C14FFE"/>
    <w:rsid w:val="00C1790A"/>
    <w:rsid w:val="00C240BB"/>
    <w:rsid w:val="00C273D5"/>
    <w:rsid w:val="00C35EE1"/>
    <w:rsid w:val="00C36158"/>
    <w:rsid w:val="00C365EF"/>
    <w:rsid w:val="00C4371A"/>
    <w:rsid w:val="00C43DEA"/>
    <w:rsid w:val="00C444EE"/>
    <w:rsid w:val="00C45316"/>
    <w:rsid w:val="00C46E8E"/>
    <w:rsid w:val="00C521C6"/>
    <w:rsid w:val="00C528D4"/>
    <w:rsid w:val="00C54659"/>
    <w:rsid w:val="00C56359"/>
    <w:rsid w:val="00C56C87"/>
    <w:rsid w:val="00C61A95"/>
    <w:rsid w:val="00C61ACB"/>
    <w:rsid w:val="00C633F5"/>
    <w:rsid w:val="00C64654"/>
    <w:rsid w:val="00C658D2"/>
    <w:rsid w:val="00C711F1"/>
    <w:rsid w:val="00C71E74"/>
    <w:rsid w:val="00C71EFF"/>
    <w:rsid w:val="00C7298B"/>
    <w:rsid w:val="00C740EB"/>
    <w:rsid w:val="00C75120"/>
    <w:rsid w:val="00C76DE8"/>
    <w:rsid w:val="00C7775A"/>
    <w:rsid w:val="00C82D4B"/>
    <w:rsid w:val="00C879A4"/>
    <w:rsid w:val="00C903FF"/>
    <w:rsid w:val="00C91AC1"/>
    <w:rsid w:val="00C92D4B"/>
    <w:rsid w:val="00C933E1"/>
    <w:rsid w:val="00C965DC"/>
    <w:rsid w:val="00CA1EFF"/>
    <w:rsid w:val="00CA3B04"/>
    <w:rsid w:val="00CA5B56"/>
    <w:rsid w:val="00CA66A5"/>
    <w:rsid w:val="00CB11BE"/>
    <w:rsid w:val="00CB5199"/>
    <w:rsid w:val="00CB6288"/>
    <w:rsid w:val="00CC152C"/>
    <w:rsid w:val="00CD14E8"/>
    <w:rsid w:val="00CD329B"/>
    <w:rsid w:val="00CE102D"/>
    <w:rsid w:val="00CE140D"/>
    <w:rsid w:val="00CE2476"/>
    <w:rsid w:val="00CE42CA"/>
    <w:rsid w:val="00CE584C"/>
    <w:rsid w:val="00CE5CA3"/>
    <w:rsid w:val="00CF09DD"/>
    <w:rsid w:val="00CF6BA4"/>
    <w:rsid w:val="00D00EC5"/>
    <w:rsid w:val="00D111A7"/>
    <w:rsid w:val="00D117E1"/>
    <w:rsid w:val="00D12D3F"/>
    <w:rsid w:val="00D15322"/>
    <w:rsid w:val="00D27766"/>
    <w:rsid w:val="00D27F04"/>
    <w:rsid w:val="00D327F6"/>
    <w:rsid w:val="00D33C42"/>
    <w:rsid w:val="00D46AC2"/>
    <w:rsid w:val="00D613D2"/>
    <w:rsid w:val="00D6171F"/>
    <w:rsid w:val="00D61ECD"/>
    <w:rsid w:val="00D62B9D"/>
    <w:rsid w:val="00D635A6"/>
    <w:rsid w:val="00D700CC"/>
    <w:rsid w:val="00D70E2F"/>
    <w:rsid w:val="00D7766A"/>
    <w:rsid w:val="00D83C23"/>
    <w:rsid w:val="00D85489"/>
    <w:rsid w:val="00D85D02"/>
    <w:rsid w:val="00D91F0E"/>
    <w:rsid w:val="00D943EC"/>
    <w:rsid w:val="00D949D5"/>
    <w:rsid w:val="00D950A3"/>
    <w:rsid w:val="00D9771B"/>
    <w:rsid w:val="00DB5CFE"/>
    <w:rsid w:val="00DC3D02"/>
    <w:rsid w:val="00DD4D8D"/>
    <w:rsid w:val="00DD66C8"/>
    <w:rsid w:val="00DE35A1"/>
    <w:rsid w:val="00DE3F07"/>
    <w:rsid w:val="00DE4E14"/>
    <w:rsid w:val="00DE7674"/>
    <w:rsid w:val="00DF0930"/>
    <w:rsid w:val="00DF6C3A"/>
    <w:rsid w:val="00DF7E5E"/>
    <w:rsid w:val="00E04D82"/>
    <w:rsid w:val="00E11130"/>
    <w:rsid w:val="00E16901"/>
    <w:rsid w:val="00E23C3A"/>
    <w:rsid w:val="00E253DF"/>
    <w:rsid w:val="00E2609F"/>
    <w:rsid w:val="00E26833"/>
    <w:rsid w:val="00E27CE8"/>
    <w:rsid w:val="00E34343"/>
    <w:rsid w:val="00E35C67"/>
    <w:rsid w:val="00E35F52"/>
    <w:rsid w:val="00E37614"/>
    <w:rsid w:val="00E408AE"/>
    <w:rsid w:val="00E40A3A"/>
    <w:rsid w:val="00E4178F"/>
    <w:rsid w:val="00E4267C"/>
    <w:rsid w:val="00E435AC"/>
    <w:rsid w:val="00E4576B"/>
    <w:rsid w:val="00E55811"/>
    <w:rsid w:val="00E57538"/>
    <w:rsid w:val="00E6326A"/>
    <w:rsid w:val="00E6621E"/>
    <w:rsid w:val="00E710F6"/>
    <w:rsid w:val="00E736AB"/>
    <w:rsid w:val="00E73798"/>
    <w:rsid w:val="00E75A92"/>
    <w:rsid w:val="00E76DA8"/>
    <w:rsid w:val="00E80D4D"/>
    <w:rsid w:val="00E82FB0"/>
    <w:rsid w:val="00E83EEA"/>
    <w:rsid w:val="00E84E85"/>
    <w:rsid w:val="00E85083"/>
    <w:rsid w:val="00E90C57"/>
    <w:rsid w:val="00E91D51"/>
    <w:rsid w:val="00E9240B"/>
    <w:rsid w:val="00E9346E"/>
    <w:rsid w:val="00E9481A"/>
    <w:rsid w:val="00E97C33"/>
    <w:rsid w:val="00EA141E"/>
    <w:rsid w:val="00EA5681"/>
    <w:rsid w:val="00EA68AD"/>
    <w:rsid w:val="00EA7489"/>
    <w:rsid w:val="00EB10ED"/>
    <w:rsid w:val="00EB423B"/>
    <w:rsid w:val="00EB4B89"/>
    <w:rsid w:val="00EB7356"/>
    <w:rsid w:val="00EC227B"/>
    <w:rsid w:val="00EC3B46"/>
    <w:rsid w:val="00ED0658"/>
    <w:rsid w:val="00ED5A08"/>
    <w:rsid w:val="00ED6723"/>
    <w:rsid w:val="00EE3F34"/>
    <w:rsid w:val="00EE48F6"/>
    <w:rsid w:val="00EE4C48"/>
    <w:rsid w:val="00EE5F7F"/>
    <w:rsid w:val="00EE67F3"/>
    <w:rsid w:val="00EF39F3"/>
    <w:rsid w:val="00EF54CB"/>
    <w:rsid w:val="00F04225"/>
    <w:rsid w:val="00F05E81"/>
    <w:rsid w:val="00F06889"/>
    <w:rsid w:val="00F10FBE"/>
    <w:rsid w:val="00F1149B"/>
    <w:rsid w:val="00F1289C"/>
    <w:rsid w:val="00F12A19"/>
    <w:rsid w:val="00F13A78"/>
    <w:rsid w:val="00F20810"/>
    <w:rsid w:val="00F211E0"/>
    <w:rsid w:val="00F21BF7"/>
    <w:rsid w:val="00F23D69"/>
    <w:rsid w:val="00F244C9"/>
    <w:rsid w:val="00F3191B"/>
    <w:rsid w:val="00F3418E"/>
    <w:rsid w:val="00F34437"/>
    <w:rsid w:val="00F35ABD"/>
    <w:rsid w:val="00F4291D"/>
    <w:rsid w:val="00F453F3"/>
    <w:rsid w:val="00F45C15"/>
    <w:rsid w:val="00F5012C"/>
    <w:rsid w:val="00F529FD"/>
    <w:rsid w:val="00F578F9"/>
    <w:rsid w:val="00F621AC"/>
    <w:rsid w:val="00F63F18"/>
    <w:rsid w:val="00F70D57"/>
    <w:rsid w:val="00F723C4"/>
    <w:rsid w:val="00F73EE5"/>
    <w:rsid w:val="00F80B5C"/>
    <w:rsid w:val="00F82249"/>
    <w:rsid w:val="00F83128"/>
    <w:rsid w:val="00F861B2"/>
    <w:rsid w:val="00F86ADF"/>
    <w:rsid w:val="00F90C8F"/>
    <w:rsid w:val="00F94B69"/>
    <w:rsid w:val="00FA07FC"/>
    <w:rsid w:val="00FA428C"/>
    <w:rsid w:val="00FB0025"/>
    <w:rsid w:val="00FB005D"/>
    <w:rsid w:val="00FB0E0E"/>
    <w:rsid w:val="00FB345E"/>
    <w:rsid w:val="00FB560A"/>
    <w:rsid w:val="00FC342E"/>
    <w:rsid w:val="00FC6B0B"/>
    <w:rsid w:val="00FC6E83"/>
    <w:rsid w:val="00FC799E"/>
    <w:rsid w:val="00FC7B05"/>
    <w:rsid w:val="00FD0F6D"/>
    <w:rsid w:val="00FD3A76"/>
    <w:rsid w:val="00FD4651"/>
    <w:rsid w:val="00FD6483"/>
    <w:rsid w:val="00FE1E14"/>
    <w:rsid w:val="00FE36BF"/>
    <w:rsid w:val="00FF5656"/>
    <w:rsid w:val="00FF599E"/>
    <w:rsid w:val="03B82C1E"/>
    <w:rsid w:val="03FF059D"/>
    <w:rsid w:val="040469FC"/>
    <w:rsid w:val="0526590B"/>
    <w:rsid w:val="05DB085A"/>
    <w:rsid w:val="0A1943A6"/>
    <w:rsid w:val="0B32197D"/>
    <w:rsid w:val="0B354AFA"/>
    <w:rsid w:val="0D834483"/>
    <w:rsid w:val="0F2145C1"/>
    <w:rsid w:val="0F841BAC"/>
    <w:rsid w:val="0FE70939"/>
    <w:rsid w:val="10005F70"/>
    <w:rsid w:val="10B31E73"/>
    <w:rsid w:val="12D70364"/>
    <w:rsid w:val="13225964"/>
    <w:rsid w:val="14564D4D"/>
    <w:rsid w:val="16A460D4"/>
    <w:rsid w:val="1763654B"/>
    <w:rsid w:val="18D421D0"/>
    <w:rsid w:val="1BE0775F"/>
    <w:rsid w:val="1C0402C3"/>
    <w:rsid w:val="1CA041FE"/>
    <w:rsid w:val="1F266C90"/>
    <w:rsid w:val="1FAD1894"/>
    <w:rsid w:val="1FFD3962"/>
    <w:rsid w:val="2117786D"/>
    <w:rsid w:val="233D0FB5"/>
    <w:rsid w:val="23775858"/>
    <w:rsid w:val="23807036"/>
    <w:rsid w:val="24A7123C"/>
    <w:rsid w:val="2652297D"/>
    <w:rsid w:val="2912392D"/>
    <w:rsid w:val="2A4B4255"/>
    <w:rsid w:val="2A62489B"/>
    <w:rsid w:val="2B9F4243"/>
    <w:rsid w:val="2C0C773F"/>
    <w:rsid w:val="2CBC2FA7"/>
    <w:rsid w:val="2D6F9653"/>
    <w:rsid w:val="2D7E40C8"/>
    <w:rsid w:val="2E170F5F"/>
    <w:rsid w:val="2E5F4766"/>
    <w:rsid w:val="2FEC4ED7"/>
    <w:rsid w:val="317652D3"/>
    <w:rsid w:val="31CF3663"/>
    <w:rsid w:val="32CB5552"/>
    <w:rsid w:val="33BA3956"/>
    <w:rsid w:val="36BE7656"/>
    <w:rsid w:val="36C615E9"/>
    <w:rsid w:val="37B35056"/>
    <w:rsid w:val="37D01583"/>
    <w:rsid w:val="38C03809"/>
    <w:rsid w:val="3B5EBB62"/>
    <w:rsid w:val="3EDA2B13"/>
    <w:rsid w:val="3F5D7B14"/>
    <w:rsid w:val="415F2B4E"/>
    <w:rsid w:val="41FF4F3E"/>
    <w:rsid w:val="42852579"/>
    <w:rsid w:val="43CD7BE6"/>
    <w:rsid w:val="448654A3"/>
    <w:rsid w:val="455D7D7B"/>
    <w:rsid w:val="45B85B30"/>
    <w:rsid w:val="45CD7D52"/>
    <w:rsid w:val="46DF0E9A"/>
    <w:rsid w:val="46EC5AA4"/>
    <w:rsid w:val="4A86C2FD"/>
    <w:rsid w:val="4AB12CDE"/>
    <w:rsid w:val="4BC04B79"/>
    <w:rsid w:val="4CA44C33"/>
    <w:rsid w:val="4DED0341"/>
    <w:rsid w:val="4F2038F9"/>
    <w:rsid w:val="4FD0781A"/>
    <w:rsid w:val="50CC07FE"/>
    <w:rsid w:val="51612C25"/>
    <w:rsid w:val="51CE328B"/>
    <w:rsid w:val="57437223"/>
    <w:rsid w:val="57A214EE"/>
    <w:rsid w:val="5A1E5DD4"/>
    <w:rsid w:val="5D877244"/>
    <w:rsid w:val="5F3E79F5"/>
    <w:rsid w:val="61B431F8"/>
    <w:rsid w:val="61D30A56"/>
    <w:rsid w:val="61D45648"/>
    <w:rsid w:val="629728D0"/>
    <w:rsid w:val="63121AD8"/>
    <w:rsid w:val="6753155E"/>
    <w:rsid w:val="67C57FB1"/>
    <w:rsid w:val="682329EA"/>
    <w:rsid w:val="687A15A3"/>
    <w:rsid w:val="68AA734D"/>
    <w:rsid w:val="6A164324"/>
    <w:rsid w:val="6B3929BF"/>
    <w:rsid w:val="6B7A019B"/>
    <w:rsid w:val="6C7F6A38"/>
    <w:rsid w:val="6D710EB8"/>
    <w:rsid w:val="6F0A6462"/>
    <w:rsid w:val="6FEA33FB"/>
    <w:rsid w:val="6FFDBBA6"/>
    <w:rsid w:val="7029702C"/>
    <w:rsid w:val="70C1148D"/>
    <w:rsid w:val="70D2364F"/>
    <w:rsid w:val="719C918C"/>
    <w:rsid w:val="73AC4E78"/>
    <w:rsid w:val="74B706C6"/>
    <w:rsid w:val="761C07CD"/>
    <w:rsid w:val="769247A1"/>
    <w:rsid w:val="76DD2B79"/>
    <w:rsid w:val="791C40F5"/>
    <w:rsid w:val="79343489"/>
    <w:rsid w:val="795B6928"/>
    <w:rsid w:val="79BF4C4E"/>
    <w:rsid w:val="7A8C4CBB"/>
    <w:rsid w:val="7CC540B3"/>
    <w:rsid w:val="7D452772"/>
    <w:rsid w:val="7DFB0F0A"/>
    <w:rsid w:val="7E2117BD"/>
    <w:rsid w:val="7E7C6206"/>
    <w:rsid w:val="7F443D3D"/>
    <w:rsid w:val="B5E7080A"/>
    <w:rsid w:val="BBC5A00A"/>
    <w:rsid w:val="BFBFB43F"/>
    <w:rsid w:val="D3B946D6"/>
    <w:rsid w:val="EFFA5956"/>
    <w:rsid w:val="F6CDA0A4"/>
    <w:rsid w:val="F9E71E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0"/>
    <w:pPr>
      <w:keepNext/>
      <w:keepLines/>
      <w:spacing w:before="260" w:after="260" w:line="416" w:lineRule="auto"/>
      <w:outlineLvl w:val="1"/>
    </w:pPr>
    <w:rPr>
      <w:rFonts w:ascii="Cambria" w:hAnsi="Cambria" w:cs="黑体"/>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unhideWhenUsed/>
    <w:qFormat/>
    <w:uiPriority w:val="99"/>
    <w:pPr>
      <w:jc w:val="left"/>
    </w:pPr>
  </w:style>
  <w:style w:type="paragraph" w:styleId="5">
    <w:name w:val="Body Text Indent"/>
    <w:basedOn w:val="1"/>
    <w:link w:val="29"/>
    <w:semiHidden/>
    <w:unhideWhenUsed/>
    <w:qFormat/>
    <w:uiPriority w:val="0"/>
    <w:pPr>
      <w:spacing w:after="120"/>
      <w:ind w:left="420" w:leftChars="200"/>
    </w:pPr>
  </w:style>
  <w:style w:type="paragraph" w:styleId="6">
    <w:name w:val="Body Text Indent 2"/>
    <w:basedOn w:val="1"/>
    <w:link w:val="23"/>
    <w:qFormat/>
    <w:uiPriority w:val="0"/>
    <w:pPr>
      <w:spacing w:after="120" w:line="480" w:lineRule="auto"/>
      <w:ind w:left="420" w:leftChars="200"/>
    </w:pPr>
  </w:style>
  <w:style w:type="paragraph" w:styleId="7">
    <w:name w:val="Balloon Text"/>
    <w:basedOn w:val="1"/>
    <w:link w:val="24"/>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paragraph" w:styleId="12">
    <w:name w:val="annotation subject"/>
    <w:basedOn w:val="4"/>
    <w:next w:val="4"/>
    <w:link w:val="26"/>
    <w:unhideWhenUsed/>
    <w:qFormat/>
    <w:uiPriority w:val="99"/>
    <w:rPr>
      <w:b/>
      <w:bCs/>
    </w:rPr>
  </w:style>
  <w:style w:type="character" w:styleId="15">
    <w:name w:val="Strong"/>
    <w:qFormat/>
    <w:uiPriority w:val="0"/>
    <w:rPr>
      <w:b/>
      <w:bCs/>
    </w:rPr>
  </w:style>
  <w:style w:type="character" w:styleId="16">
    <w:name w:val="Hyperlink"/>
    <w:qFormat/>
    <w:uiPriority w:val="99"/>
    <w:rPr>
      <w:color w:val="0000FF"/>
      <w:u w:val="single"/>
    </w:rPr>
  </w:style>
  <w:style w:type="character" w:styleId="17">
    <w:name w:val="annotation reference"/>
    <w:basedOn w:val="14"/>
    <w:unhideWhenUsed/>
    <w:qFormat/>
    <w:uiPriority w:val="99"/>
    <w:rPr>
      <w:sz w:val="21"/>
      <w:szCs w:val="21"/>
    </w:rPr>
  </w:style>
  <w:style w:type="paragraph" w:customStyle="1" w:styleId="18">
    <w:name w:val="列出段落1"/>
    <w:basedOn w:val="1"/>
    <w:qFormat/>
    <w:uiPriority w:val="34"/>
    <w:pPr>
      <w:ind w:firstLine="420"/>
    </w:pPr>
    <w:rPr>
      <w:rFonts w:ascii="Calibri" w:hAnsi="Calibri"/>
    </w:rPr>
  </w:style>
  <w:style w:type="character" w:customStyle="1" w:styleId="19">
    <w:name w:val="页眉 字符"/>
    <w:basedOn w:val="14"/>
    <w:link w:val="9"/>
    <w:qFormat/>
    <w:uiPriority w:val="99"/>
    <w:rPr>
      <w:sz w:val="18"/>
      <w:szCs w:val="18"/>
    </w:rPr>
  </w:style>
  <w:style w:type="character" w:customStyle="1" w:styleId="20">
    <w:name w:val="页脚 字符"/>
    <w:basedOn w:val="14"/>
    <w:link w:val="8"/>
    <w:qFormat/>
    <w:uiPriority w:val="99"/>
    <w:rPr>
      <w:sz w:val="18"/>
      <w:szCs w:val="18"/>
    </w:rPr>
  </w:style>
  <w:style w:type="character" w:customStyle="1" w:styleId="21">
    <w:name w:val="标题 1 字符"/>
    <w:basedOn w:val="14"/>
    <w:link w:val="2"/>
    <w:qFormat/>
    <w:uiPriority w:val="0"/>
    <w:rPr>
      <w:rFonts w:ascii="Times New Roman" w:hAnsi="Times New Roman" w:eastAsia="宋体" w:cs="Times New Roman"/>
      <w:b/>
      <w:bCs/>
      <w:kern w:val="44"/>
      <w:sz w:val="44"/>
      <w:szCs w:val="44"/>
    </w:rPr>
  </w:style>
  <w:style w:type="character" w:customStyle="1" w:styleId="22">
    <w:name w:val="标题 2 字符"/>
    <w:basedOn w:val="14"/>
    <w:link w:val="3"/>
    <w:qFormat/>
    <w:uiPriority w:val="0"/>
    <w:rPr>
      <w:rFonts w:ascii="Cambria" w:hAnsi="Cambria" w:eastAsia="宋体" w:cs="黑体"/>
      <w:b/>
      <w:bCs/>
      <w:sz w:val="32"/>
      <w:szCs w:val="32"/>
    </w:rPr>
  </w:style>
  <w:style w:type="character" w:customStyle="1" w:styleId="23">
    <w:name w:val="正文文本缩进 2 字符"/>
    <w:basedOn w:val="14"/>
    <w:link w:val="6"/>
    <w:qFormat/>
    <w:uiPriority w:val="0"/>
    <w:rPr>
      <w:rFonts w:ascii="Times New Roman" w:hAnsi="Times New Roman" w:eastAsia="宋体" w:cs="Times New Roman"/>
      <w:szCs w:val="24"/>
    </w:rPr>
  </w:style>
  <w:style w:type="character" w:customStyle="1" w:styleId="24">
    <w:name w:val="批注框文本 字符"/>
    <w:basedOn w:val="14"/>
    <w:link w:val="7"/>
    <w:semiHidden/>
    <w:qFormat/>
    <w:uiPriority w:val="99"/>
    <w:rPr>
      <w:rFonts w:ascii="Times New Roman" w:hAnsi="Times New Roman" w:eastAsia="宋体" w:cs="Times New Roman"/>
      <w:sz w:val="18"/>
      <w:szCs w:val="18"/>
    </w:rPr>
  </w:style>
  <w:style w:type="character" w:customStyle="1" w:styleId="25">
    <w:name w:val="批注文字 字符"/>
    <w:basedOn w:val="14"/>
    <w:link w:val="4"/>
    <w:semiHidden/>
    <w:qFormat/>
    <w:uiPriority w:val="99"/>
    <w:rPr>
      <w:rFonts w:ascii="Times New Roman" w:hAnsi="Times New Roman" w:eastAsia="宋体" w:cs="Times New Roman"/>
      <w:szCs w:val="24"/>
    </w:rPr>
  </w:style>
  <w:style w:type="character" w:customStyle="1" w:styleId="26">
    <w:name w:val="批注主题 字符"/>
    <w:basedOn w:val="25"/>
    <w:link w:val="12"/>
    <w:semiHidden/>
    <w:qFormat/>
    <w:uiPriority w:val="99"/>
    <w:rPr>
      <w:rFonts w:ascii="Times New Roman" w:hAnsi="Times New Roman" w:eastAsia="宋体" w:cs="Times New Roman"/>
      <w:b/>
      <w:bCs/>
      <w:szCs w:val="24"/>
    </w:rPr>
  </w:style>
  <w:style w:type="character" w:customStyle="1" w:styleId="27">
    <w:name w:val="页码1"/>
    <w:basedOn w:val="14"/>
    <w:qFormat/>
    <w:uiPriority w:val="0"/>
  </w:style>
  <w:style w:type="paragraph" w:styleId="28">
    <w:name w:val="List Paragraph"/>
    <w:basedOn w:val="1"/>
    <w:qFormat/>
    <w:uiPriority w:val="99"/>
    <w:pPr>
      <w:ind w:firstLine="420" w:firstLineChars="200"/>
    </w:pPr>
    <w:rPr>
      <w:rFonts w:asciiTheme="minorHAnsi" w:hAnsiTheme="minorHAnsi" w:eastAsiaTheme="minorEastAsia" w:cstheme="minorBidi"/>
      <w:szCs w:val="22"/>
    </w:rPr>
  </w:style>
  <w:style w:type="character" w:customStyle="1" w:styleId="29">
    <w:name w:val="正文文本缩进 字符"/>
    <w:basedOn w:val="14"/>
    <w:link w:val="5"/>
    <w:semiHidden/>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3487</Words>
  <Characters>3593</Characters>
  <Lines>224</Lines>
  <Paragraphs>202</Paragraphs>
  <TotalTime>713</TotalTime>
  <ScaleCrop>false</ScaleCrop>
  <LinksUpToDate>false</LinksUpToDate>
  <CharactersWithSpaces>6878</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2019-12-28T19:30:00Z</dcterms:created>
  <dc:creator>LENOVO</dc:creator>
  <cp:lastModifiedBy>user</cp:lastModifiedBy>
  <dcterms:modified xsi:type="dcterms:W3CDTF">2025-08-26T16:36:06Z</dcterms:modified>
  <dc:title>《亦庄镇健康生活手册》项目</dc:title>
  <cp:revision>430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ED09E0D87F164EFAACE0E0A546E7253C_13</vt:lpwstr>
  </property>
  <property fmtid="{D5CDD505-2E9C-101B-9397-08002B2CF9AE}" pid="4" name="KSOTemplateDocerSaveRecord">
    <vt:lpwstr>eyJoZGlkIjoiYTY0NjNkMjBiYTI5NDUxZmZlM2Q3YzFmMjgzZDY1ZmUiLCJ1c2VySWQiOiI1NzkzOTMyNzUifQ==</vt:lpwstr>
  </property>
</Properties>
</file>